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A0" w:rsidRDefault="001745A0" w:rsidP="006D5A1E">
      <w:pPr>
        <w:pStyle w:val="KeinLeerraum"/>
      </w:pPr>
      <w:r w:rsidRPr="00421B19">
        <w:rPr>
          <w:noProof/>
          <w:lang w:eastAsia="de-DE"/>
        </w:rPr>
        <mc:AlternateContent>
          <mc:Choice Requires="wps">
            <w:drawing>
              <wp:anchor distT="0" distB="0" distL="114300" distR="114300" simplePos="0" relativeHeight="251659264" behindDoc="0" locked="0" layoutInCell="1" allowOverlap="1" wp14:anchorId="5C01AB30" wp14:editId="4711403B">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FE0107">
                              <w:rPr>
                                <w:b/>
                                <w:sz w:val="28"/>
                              </w:rPr>
                              <w:t>Januar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FE0107">
                        <w:rPr>
                          <w:b/>
                          <w:sz w:val="28"/>
                        </w:rPr>
                        <w:t>Januar 2018</w:t>
                      </w:r>
                    </w:p>
                  </w:txbxContent>
                </v:textbox>
              </v:shape>
            </w:pict>
          </mc:Fallback>
        </mc:AlternateContent>
      </w: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EB704E" w:rsidRDefault="00EB704E" w:rsidP="006D5A1E">
      <w:pPr>
        <w:pStyle w:val="KeinLeerraum"/>
      </w:pPr>
      <w:r>
        <w:t xml:space="preserve">Der </w:t>
      </w:r>
      <w:r w:rsidRPr="007E7331">
        <w:rPr>
          <w:b/>
        </w:rPr>
        <w:t>BGH</w:t>
      </w:r>
      <w:r>
        <w:t xml:space="preserve"> hat mit Beschluss vom 22.08.2017 entschieden, dass für die Geltendmachung von Ansprüchen wegen im Mietshaus lärmender Nachbarn (hier: Riesentheater) der Mieter ke</w:t>
      </w:r>
      <w:r>
        <w:t>i</w:t>
      </w:r>
      <w:r>
        <w:t>ne „Lärmprotokolle“ mehr führen muss. Im BGH-Fall verlangt die Mieterin von ihrem Vermieter Beseitigung näherbezeichneter Lärmstörungen, Feststellung einer heftigen Mietminderung, sowie Rückzahlung der en</w:t>
      </w:r>
      <w:r>
        <w:t>t</w:t>
      </w:r>
      <w:r>
        <w:t>sprechend unter Vorbehalt entrichteten Miete. Das von ihr – zu dem unter Vorlage von Lärmprotokollen – anschaulich gerügte, von ihrem neuen Nachbarn mit zwei kleinen Ki</w:t>
      </w:r>
      <w:r>
        <w:t>n</w:t>
      </w:r>
      <w:r>
        <w:t>dern ausgehende „Riesentheater“ sei schlicht unerträglich. Zwar sind in einem Mehrfamil</w:t>
      </w:r>
      <w:r>
        <w:t>i</w:t>
      </w:r>
      <w:r>
        <w:t>enhaus auftretende Lärmbelästigungen als sozialadäquates Verhalten hinzunehmen und führen damit nicht zwangsläufig zu einem Mangel d</w:t>
      </w:r>
      <w:r w:rsidR="007E7331">
        <w:t xml:space="preserve">er Mietsache. Trotzdem haben </w:t>
      </w:r>
      <w:r>
        <w:t>z</w:t>
      </w:r>
      <w:r>
        <w:t>u</w:t>
      </w:r>
      <w:r>
        <w:t>nehmende Beeinträchtigungen Grenzen und zwar auch unter Berücksichtigung von §</w:t>
      </w:r>
      <w:r w:rsidR="007E7331">
        <w:t xml:space="preserve"> </w:t>
      </w:r>
      <w:r>
        <w:t>22 Abs. 1a Bundes-Immissionsschutzgesetz. S</w:t>
      </w:r>
      <w:r>
        <w:t>o</w:t>
      </w:r>
      <w:r>
        <w:t xml:space="preserve">weit Ansprüche geltend gemacht werden, die den Bereich des Zumutbaren überschreiten, brauchen keine detaillierten Lärmprotokolle vorgelegt zu werden. Es genügt, wenn aus dem Vorbringen mit ausreichender Substanz eine nach Art, Intensität, Dauer sowie Häufigkeit beschriebene Beeinträchtigung ersichtlich wird. </w:t>
      </w:r>
    </w:p>
    <w:p w:rsidR="00265A05" w:rsidRDefault="00265A05" w:rsidP="006D5A1E">
      <w:pPr>
        <w:pStyle w:val="KeinLeerraum"/>
      </w:pPr>
    </w:p>
    <w:p w:rsidR="00265A05" w:rsidRDefault="00265A05" w:rsidP="006D5A1E">
      <w:pPr>
        <w:pStyle w:val="KeinLeerraum"/>
      </w:pPr>
      <w:r>
        <w:t xml:space="preserve">Der </w:t>
      </w:r>
      <w:r w:rsidRPr="007E7331">
        <w:rPr>
          <w:b/>
        </w:rPr>
        <w:t>BGH</w:t>
      </w:r>
      <w:r>
        <w:t xml:space="preserve"> hat mit Urteil vom 27.09.2017 en</w:t>
      </w:r>
      <w:r>
        <w:t>t</w:t>
      </w:r>
      <w:r>
        <w:t>schieden, dass eine ordent</w:t>
      </w:r>
      <w:r w:rsidR="0000539D">
        <w:t>liche Kündigung wegen angemessen</w:t>
      </w:r>
      <w:r>
        <w:t>er wirtschaftlicher Verwe</w:t>
      </w:r>
      <w:r>
        <w:t>r</w:t>
      </w:r>
      <w:r>
        <w:t>tung einen erheblichen Nachteil unmittelbar beim Vermieter selbst voraussetzt. Ein Nac</w:t>
      </w:r>
      <w:r>
        <w:t>h</w:t>
      </w:r>
      <w:r>
        <w:t>teil bei mit einer der vermietenden Gesellschaft persönlich und wirtschaftlich verbundenen „Schwestergesellschaft“ reicht nicht aus. Der Abriss eines Gebäudes, um einen Neubau mit Gewerbeeinheiten zu errichten, stellt eine a</w:t>
      </w:r>
      <w:r>
        <w:t>n</w:t>
      </w:r>
      <w:r>
        <w:t>gemessene wirtschaftliche Verwertung dar. Auch bei der Verwertungskündigung muss sich der Nutzungswunsch soweit „verdichtet“ haben, dass eine baldige Umsetzung der Nu</w:t>
      </w:r>
      <w:r>
        <w:t>t</w:t>
      </w:r>
      <w:r>
        <w:t xml:space="preserve">zungspläne angenommen werden kann. </w:t>
      </w:r>
    </w:p>
    <w:p w:rsidR="00265A05" w:rsidRDefault="00265A05" w:rsidP="006D5A1E">
      <w:pPr>
        <w:pStyle w:val="KeinLeerraum"/>
      </w:pPr>
    </w:p>
    <w:p w:rsidR="00265A05" w:rsidRDefault="00265A05" w:rsidP="006D5A1E">
      <w:pPr>
        <w:pStyle w:val="KeinLeerraum"/>
      </w:pPr>
      <w:r>
        <w:t xml:space="preserve">Ebenfalls mit Urteil vom 27.09.2017 hat der </w:t>
      </w:r>
      <w:r w:rsidRPr="007E7331">
        <w:rPr>
          <w:b/>
        </w:rPr>
        <w:t>BGH</w:t>
      </w:r>
      <w:r>
        <w:t xml:space="preserve"> </w:t>
      </w:r>
      <w:r w:rsidR="0000539D">
        <w:t>F</w:t>
      </w:r>
      <w:r>
        <w:t>olgendes entschieden: Ein Mietverhäl</w:t>
      </w:r>
      <w:r>
        <w:t>t</w:t>
      </w:r>
      <w:r>
        <w:t xml:space="preserve">nis ist kündbar, wenn der Mieter entweder an zwei aufeinanderfolgenden Monaten mit einer </w:t>
      </w:r>
      <w:r>
        <w:lastRenderedPageBreak/>
        <w:t>Monatsmiete und einem Cent oder ansonsten mit zwei Monatsmieten in Verzug ist. Wenn dies in der Vergangenheit einmal der Fall g</w:t>
      </w:r>
      <w:r>
        <w:t>e</w:t>
      </w:r>
      <w:r>
        <w:t>wesen ist, besteht die Kündbarkeit so lange fort, bis der Rückstand vollständig ausgegl</w:t>
      </w:r>
      <w:r>
        <w:t>i</w:t>
      </w:r>
      <w:r>
        <w:t>chen ist. Der zur Kündigung berechtigende Rückstand muss nicht zum Zeitpunkt des Z</w:t>
      </w:r>
      <w:r>
        <w:t>u</w:t>
      </w:r>
      <w:r>
        <w:t>gangs des Kündigungsschreibens bestehen. Der kündigungsrelevante Rückstand muss nicht zusätzlich zu</w:t>
      </w:r>
      <w:r w:rsidR="0000539D">
        <w:t>m</w:t>
      </w:r>
      <w:r>
        <w:t xml:space="preserve"> Kündigungszeit</w:t>
      </w:r>
      <w:r w:rsidR="0000539D">
        <w:t>punkt</w:t>
      </w:r>
      <w:r>
        <w:t xml:space="preserve"> vorliegen. Hierfür spricht der Wortlaut des Gesetzes „vorher befriedigt wird“.</w:t>
      </w:r>
      <w:r w:rsidR="001375AE">
        <w:t xml:space="preserve"> Der Mieter wurde vom Gesetzgeber allein dadurch g</w:t>
      </w:r>
      <w:r w:rsidR="001375AE">
        <w:t>e</w:t>
      </w:r>
      <w:r w:rsidR="001375AE">
        <w:t xml:space="preserve">schützt, dass er bis Kündigung den Rückstand vollständig begleicht. </w:t>
      </w:r>
    </w:p>
    <w:p w:rsidR="001375AE" w:rsidRDefault="001375AE" w:rsidP="006D5A1E">
      <w:pPr>
        <w:pStyle w:val="KeinLeerraum"/>
      </w:pPr>
    </w:p>
    <w:p w:rsidR="001375AE" w:rsidRDefault="001375AE" w:rsidP="006D5A1E">
      <w:pPr>
        <w:pStyle w:val="KeinLeerraum"/>
      </w:pPr>
      <w:r>
        <w:t xml:space="preserve">Das </w:t>
      </w:r>
      <w:r w:rsidRPr="007E7331">
        <w:rPr>
          <w:b/>
        </w:rPr>
        <w:t>Landgericht Berlin</w:t>
      </w:r>
      <w:r>
        <w:t xml:space="preserve"> hat am 16.05.2017 entschieden, dass ein Gebrauchsvorteil für eine Wohnung nur dann vorliegt, wenn sie aufgrund des Einbaus eine</w:t>
      </w:r>
      <w:r w:rsidR="0000539D">
        <w:t>s</w:t>
      </w:r>
      <w:r>
        <w:t xml:space="preserve"> Fahrstuhls besser, schneller oder barrierefrei zu erreichen ist. Dies ist nicht der Fall, wenn auf der betreffenden Etage ein Haltepunkt des Fahrstuhls nicht eingebaut ist. </w:t>
      </w:r>
    </w:p>
    <w:p w:rsidR="001375AE" w:rsidRDefault="001375AE" w:rsidP="006D5A1E">
      <w:pPr>
        <w:pStyle w:val="KeinLeerraum"/>
      </w:pPr>
    </w:p>
    <w:p w:rsidR="001375AE" w:rsidRDefault="001375AE" w:rsidP="006D5A1E">
      <w:pPr>
        <w:pStyle w:val="KeinLeerraum"/>
      </w:pPr>
      <w:r>
        <w:t xml:space="preserve">Mit Beschluss vom 26.09.2017 hat das </w:t>
      </w:r>
      <w:r w:rsidRPr="007E7331">
        <w:rPr>
          <w:b/>
        </w:rPr>
        <w:t>Lan</w:t>
      </w:r>
      <w:r w:rsidRPr="007E7331">
        <w:rPr>
          <w:b/>
        </w:rPr>
        <w:t>d</w:t>
      </w:r>
      <w:r w:rsidRPr="007E7331">
        <w:rPr>
          <w:b/>
        </w:rPr>
        <w:t xml:space="preserve">gericht Berlin </w:t>
      </w:r>
      <w:r>
        <w:t>entschieden, dass nach einer Abmahnung eine Kündigung nicht mehr mö</w:t>
      </w:r>
      <w:r>
        <w:t>g</w:t>
      </w:r>
      <w:r>
        <w:t>lich ist. Spricht der Vermieter gegenüber dem Mieter wegen Zahlungsverzugs eine fristg</w:t>
      </w:r>
      <w:r>
        <w:t>e</w:t>
      </w:r>
      <w:r>
        <w:t>bundene Abmahnung aus, verzichtet er damit konkludent auf den Ausspruch einer außero</w:t>
      </w:r>
      <w:r>
        <w:t>r</w:t>
      </w:r>
      <w:r>
        <w:t>dentlichen oder ordentlichen Kündigung bis zum fruchtlosen Ablauf der gesetzten Frist. Eine auf den abgemahnten Zahlungsverzug gestützte Kündigung ist deshalb unwirksam, wenn sie vor Fristablauf erklärt wird.</w:t>
      </w:r>
    </w:p>
    <w:p w:rsidR="001375AE" w:rsidRDefault="001375AE" w:rsidP="006D5A1E">
      <w:pPr>
        <w:pStyle w:val="KeinLeerraum"/>
      </w:pPr>
    </w:p>
    <w:p w:rsidR="001375AE" w:rsidRDefault="001375AE" w:rsidP="006D5A1E">
      <w:pPr>
        <w:pStyle w:val="KeinLeerraum"/>
      </w:pPr>
      <w:r>
        <w:t xml:space="preserve">Das </w:t>
      </w:r>
      <w:r w:rsidRPr="007E7331">
        <w:rPr>
          <w:b/>
        </w:rPr>
        <w:t>Landgericht Frankfurt</w:t>
      </w:r>
      <w:r>
        <w:t xml:space="preserve"> hat am 12.07.</w:t>
      </w:r>
      <w:r w:rsidR="007E7331">
        <w:t xml:space="preserve"> </w:t>
      </w:r>
      <w:r>
        <w:t>2017 entschieden, dass dann, wenn der Mieter während der Schonfrist schon mehrere Teilb</w:t>
      </w:r>
      <w:r>
        <w:t>e</w:t>
      </w:r>
      <w:r>
        <w:t>träge auf den Rückstand gezahlt hat, es darauf ankommt, ob bis zum Ende der Schonfrist eine vollständige Tilgung stattgefunden hat. Die Berufung auf einen bestehenden Rückstand am Ende der Schonfrist ist nur treuwidrig, wenn der verbleibende Rückstand geringfügig ist. Ist am Ende der Schonfrist noch ein Betrag offen, der mehr als 10% der geschuldeten Bruttomi</w:t>
      </w:r>
      <w:r>
        <w:t>e</w:t>
      </w:r>
      <w:r>
        <w:t>te entspricht, so kann sich der Vermieter hi</w:t>
      </w:r>
      <w:r>
        <w:t>e</w:t>
      </w:r>
      <w:r>
        <w:t xml:space="preserve">rauf berufen, auch wenn dieser tatsächliche </w:t>
      </w:r>
      <w:r w:rsidR="0000539D">
        <w:t xml:space="preserve">Rückstand </w:t>
      </w:r>
      <w:r>
        <w:t xml:space="preserve">gerade einmal 64,00 Euro beträgt. </w:t>
      </w:r>
    </w:p>
    <w:p w:rsidR="001375AE" w:rsidRDefault="001375AE" w:rsidP="006D5A1E">
      <w:pPr>
        <w:pStyle w:val="KeinLeerraum"/>
      </w:pPr>
    </w:p>
    <w:p w:rsidR="001375AE" w:rsidRDefault="001375AE" w:rsidP="006D5A1E">
      <w:pPr>
        <w:pStyle w:val="KeinLeerraum"/>
      </w:pPr>
      <w:r>
        <w:t xml:space="preserve">Der </w:t>
      </w:r>
      <w:r w:rsidRPr="007E7331">
        <w:rPr>
          <w:b/>
        </w:rPr>
        <w:t>BGH</w:t>
      </w:r>
      <w:r>
        <w:t xml:space="preserve"> hat mit Urteil vom 27.09.2017 alle Schriftform-Heilungsklauseln verworfen. S</w:t>
      </w:r>
      <w:r>
        <w:t>o</w:t>
      </w:r>
      <w:r>
        <w:t xml:space="preserve">genannte Schriftform-Heilungsklauseln sind mit der nicht abdingbaren Vorschrift des §550 </w:t>
      </w:r>
      <w:r>
        <w:lastRenderedPageBreak/>
        <w:t>BGB unvereinbar und daher unwirksam. Sie können deshalb für sich genommen</w:t>
      </w:r>
      <w:r w:rsidR="00E77BB9">
        <w:t xml:space="preserve"> eine Ve</w:t>
      </w:r>
      <w:r w:rsidR="00E77BB9">
        <w:t>r</w:t>
      </w:r>
      <w:r w:rsidR="00E77BB9">
        <w:t>tragspartei nicht daran hindern, einen Mietve</w:t>
      </w:r>
      <w:r w:rsidR="00E77BB9">
        <w:t>r</w:t>
      </w:r>
      <w:r w:rsidR="00E77BB9">
        <w:t>trag unter Berufung auf einen Schriftformma</w:t>
      </w:r>
      <w:r w:rsidR="00E77BB9">
        <w:t>n</w:t>
      </w:r>
      <w:r w:rsidR="00E77BB9">
        <w:t>gel ordentlich zu kündigen. Es verstößt jedoch gegen Treu und Glauben, wenn eine Mietve</w:t>
      </w:r>
      <w:r w:rsidR="00E77BB9">
        <w:t>r</w:t>
      </w:r>
      <w:r w:rsidR="00E77BB9">
        <w:t>tragspartei eine nachträglich getroffenen Abr</w:t>
      </w:r>
      <w:r w:rsidR="00E77BB9">
        <w:t>e</w:t>
      </w:r>
      <w:r w:rsidR="00E77BB9">
        <w:t>de, die lediglich ihr vorteilhaft ist, allein de</w:t>
      </w:r>
      <w:r w:rsidR="00E77BB9">
        <w:t>s</w:t>
      </w:r>
      <w:r w:rsidR="00E77BB9">
        <w:t>halb, weil sie nicht die schriftliche Form wahrt, zum Anlass nimmt, sich von einem ihr inzw</w:t>
      </w:r>
      <w:r w:rsidR="00E77BB9">
        <w:t>i</w:t>
      </w:r>
      <w:r w:rsidR="00E77BB9">
        <w:t>schen lästig gewordenen langfristigen Mietve</w:t>
      </w:r>
      <w:r w:rsidR="00E77BB9">
        <w:t>r</w:t>
      </w:r>
      <w:r w:rsidR="00E77BB9">
        <w:t xml:space="preserve">trag zu lösen. </w:t>
      </w:r>
    </w:p>
    <w:p w:rsidR="00E77BB9" w:rsidRDefault="00E77BB9" w:rsidP="006D5A1E">
      <w:pPr>
        <w:pStyle w:val="KeinLeerraum"/>
      </w:pPr>
    </w:p>
    <w:p w:rsidR="00E77BB9" w:rsidRDefault="00E77BB9" w:rsidP="006D5A1E">
      <w:pPr>
        <w:pStyle w:val="KeinLeerraum"/>
      </w:pPr>
      <w:r>
        <w:t xml:space="preserve">Das </w:t>
      </w:r>
      <w:r w:rsidRPr="007E7331">
        <w:rPr>
          <w:b/>
        </w:rPr>
        <w:t>Landgericht Hamburg</w:t>
      </w:r>
      <w:r>
        <w:t xml:space="preserve"> hat am 22.02.</w:t>
      </w:r>
      <w:r w:rsidR="007E7331">
        <w:t xml:space="preserve"> </w:t>
      </w:r>
      <w:r>
        <w:t>2017 entschieden, dass die Einberufung einer Versammlung durch einen Nichtberechtigten möglich ist. Nehmen säm</w:t>
      </w:r>
      <w:r w:rsidR="001745A0">
        <w:t>t</w:t>
      </w:r>
      <w:r>
        <w:t>liche Eigentümer an der Versammlung teil, wird der Einberufung</w:t>
      </w:r>
      <w:r>
        <w:t>s</w:t>
      </w:r>
      <w:r>
        <w:t xml:space="preserve">mangel konkludent genehmigt. </w:t>
      </w:r>
    </w:p>
    <w:p w:rsidR="00E77BB9" w:rsidRDefault="00E77BB9" w:rsidP="006D5A1E">
      <w:pPr>
        <w:pStyle w:val="KeinLeerraum"/>
      </w:pPr>
    </w:p>
    <w:p w:rsidR="00E77BB9" w:rsidRDefault="00E77BB9" w:rsidP="006D5A1E">
      <w:pPr>
        <w:pStyle w:val="KeinLeerraum"/>
      </w:pPr>
      <w:r>
        <w:t xml:space="preserve">Das </w:t>
      </w:r>
      <w:r w:rsidRPr="007E7331">
        <w:rPr>
          <w:b/>
        </w:rPr>
        <w:t>Landgericht Frankfurt</w:t>
      </w:r>
      <w:r>
        <w:t xml:space="preserve"> hat am 4.10.2017 entschieden, dass ein Gebrauchsbeschluss e</w:t>
      </w:r>
      <w:r>
        <w:t>i</w:t>
      </w:r>
      <w:r>
        <w:t>ner WEG, der nur das Musizieren und Klavie</w:t>
      </w:r>
      <w:r>
        <w:t>r</w:t>
      </w:r>
      <w:r>
        <w:t>spielen beschränkt, nicht einer ordnunsgem</w:t>
      </w:r>
      <w:r>
        <w:t>ä</w:t>
      </w:r>
      <w:r>
        <w:t>ßen Verwaltung entspricht. Das Gericht ist der Auffassung, eine Lautstärkeregelung sei u</w:t>
      </w:r>
      <w:r>
        <w:t>n</w:t>
      </w:r>
      <w:r>
        <w:t>wirksam, wenn sie verschiedene „Geräusc</w:t>
      </w:r>
      <w:r>
        <w:t>h</w:t>
      </w:r>
      <w:r>
        <w:t>quellen“ in Bezug auf Ruhezeiten unzuläss</w:t>
      </w:r>
      <w:r>
        <w:t>i</w:t>
      </w:r>
      <w:r>
        <w:t>gerweise unterschiedlich behandelt. Hier sei nach dem Beschluss das Musizieren und Kl</w:t>
      </w:r>
      <w:r>
        <w:t>a</w:t>
      </w:r>
      <w:r>
        <w:t>vierspielen lediglich zu eingeschränkten Zeiten möglich, während für andere Geräuschemiss</w:t>
      </w:r>
      <w:r>
        <w:t>i</w:t>
      </w:r>
      <w:r>
        <w:t xml:space="preserve">onen andere Zeiten gelten. </w:t>
      </w:r>
    </w:p>
    <w:p w:rsidR="00E77BB9" w:rsidRDefault="00E77BB9" w:rsidP="006D5A1E">
      <w:pPr>
        <w:pStyle w:val="KeinLeerraum"/>
      </w:pPr>
    </w:p>
    <w:p w:rsidR="00E77BB9" w:rsidRDefault="00E77BB9" w:rsidP="006D5A1E">
      <w:pPr>
        <w:pStyle w:val="KeinLeerraum"/>
      </w:pPr>
      <w:r>
        <w:t xml:space="preserve">Das </w:t>
      </w:r>
      <w:r w:rsidRPr="007E7331">
        <w:rPr>
          <w:b/>
        </w:rPr>
        <w:t>Amtsgericht München</w:t>
      </w:r>
      <w:r>
        <w:t xml:space="preserve"> hat am 14.12.</w:t>
      </w:r>
      <w:r w:rsidR="007E7331">
        <w:t xml:space="preserve"> </w:t>
      </w:r>
      <w:r>
        <w:t>2017 entschieden, dass der optische Gesam</w:t>
      </w:r>
      <w:r>
        <w:t>t</w:t>
      </w:r>
      <w:r>
        <w:t>eindruck der Anlage im Einzelfall beeinträc</w:t>
      </w:r>
      <w:r>
        <w:t>h</w:t>
      </w:r>
      <w:r>
        <w:t>tigt ist, wenn eine Steinterrasse mit einer Hol</w:t>
      </w:r>
      <w:r>
        <w:t>z</w:t>
      </w:r>
      <w:r>
        <w:t>terrasse überplankt wird. Fehlt die für bauliche Veränderungen nach der Gemeinschaftsor</w:t>
      </w:r>
      <w:r>
        <w:t>d</w:t>
      </w:r>
      <w:r>
        <w:t>nung erforderliche Verwalterzustimmung, ist die Baumaßnahme unabhängig vom Vorliegen eines Nachteils unzulässig. Auch bei einer aus mehreren weitgehend getrennten Häusern b</w:t>
      </w:r>
      <w:r>
        <w:t>e</w:t>
      </w:r>
      <w:r>
        <w:t>stehenden Wohnungseigentums-Anlage kann jeder Wohnungseigentümer die Beseitigung der Beeinträchtigung des optischen Gesam</w:t>
      </w:r>
      <w:r>
        <w:t>t</w:t>
      </w:r>
      <w:r>
        <w:t>eindrucks verlangen.</w:t>
      </w:r>
    </w:p>
    <w:p w:rsidR="00EB704E" w:rsidRDefault="00EB704E" w:rsidP="006D5A1E">
      <w:pPr>
        <w:pStyle w:val="KeinLeerraum"/>
      </w:pPr>
    </w:p>
    <w:p w:rsidR="00A266BF" w:rsidRDefault="00A266BF" w:rsidP="006D5A1E">
      <w:pPr>
        <w:pStyle w:val="KeinLeerraum"/>
      </w:pPr>
      <w:r>
        <w:t xml:space="preserve">Das </w:t>
      </w:r>
      <w:r w:rsidRPr="00A266BF">
        <w:rPr>
          <w:b/>
        </w:rPr>
        <w:t>Lan</w:t>
      </w:r>
      <w:r>
        <w:rPr>
          <w:b/>
        </w:rPr>
        <w:t xml:space="preserve">dgericht München I </w:t>
      </w:r>
      <w:r>
        <w:t>hat mit Urteil vom 06.12.2017 entschieden, dass die Mie</w:t>
      </w:r>
      <w:r>
        <w:t>t</w:t>
      </w:r>
      <w:r>
        <w:t>preisbremse in München wegen nichtiger Rechtsgrundlage nicht anwendbar ist. Es gibt keine bindenden Vorschriften über die Zulä</w:t>
      </w:r>
      <w:r>
        <w:t>s</w:t>
      </w:r>
      <w:r>
        <w:t>sigkeit der vereinbarten Miete nach § 556 d BGB für München. Die Mieterschutzveror</w:t>
      </w:r>
      <w:r>
        <w:t>d</w:t>
      </w:r>
      <w:r>
        <w:lastRenderedPageBreak/>
        <w:t>nung des Freistaats Bayern vom 10.11.2015 ist für München nicht anwendbar. Diese ist jede</w:t>
      </w:r>
      <w:r>
        <w:t>n</w:t>
      </w:r>
      <w:r>
        <w:t>falls nichtig, soweit es München betrifft. Die einzelnen Gemeinden in einer von der Lande</w:t>
      </w:r>
      <w:r>
        <w:t>s</w:t>
      </w:r>
      <w:r>
        <w:t>regierung zu erlassenden Rechtsverordnung müssen bestimmt werden und diese Rechtsve</w:t>
      </w:r>
      <w:r>
        <w:t>r</w:t>
      </w:r>
      <w:r>
        <w:t>ordnung muss in ihrer Begründung für die betreffenden Kreise erkennen lassen, aus we</w:t>
      </w:r>
      <w:r>
        <w:t>l</w:t>
      </w:r>
      <w:r>
        <w:t>chen Gründen das jeweilige Gebiet und damit auch die Landeshauptstadt München in die Mieterschutzverordnung aufgenommen wo</w:t>
      </w:r>
      <w:r>
        <w:t>r</w:t>
      </w:r>
      <w:r>
        <w:t xml:space="preserve">den sind. Die von der Bayer. Staatsregierung erlassene Mietpreisbremsverordnung werde diesen Anforderungen nicht gerecht. Für den einzelnen Bürger sei nicht nachvollziehbar, mit welchem Gewicht welcher Indikator gewertet worden und weshalb die Landeshauptstadt München in die Verordnung aufgenommen worden ist. </w:t>
      </w:r>
    </w:p>
    <w:p w:rsidR="00A266BF" w:rsidRDefault="00A266BF" w:rsidP="006D5A1E">
      <w:pPr>
        <w:pStyle w:val="KeinLeerraum"/>
      </w:pPr>
    </w:p>
    <w:p w:rsidR="003001E5" w:rsidRPr="00365C81" w:rsidRDefault="00A266BF" w:rsidP="00232F4F">
      <w:pPr>
        <w:pStyle w:val="KeinLeerraum"/>
      </w:pPr>
      <w:r>
        <w:t xml:space="preserve">Das </w:t>
      </w:r>
      <w:r>
        <w:rPr>
          <w:b/>
        </w:rPr>
        <w:t>OLG München</w:t>
      </w:r>
      <w:r>
        <w:t xml:space="preserve"> hat mit Beschluss vom 04.09.2017 Folgendes entschieden: Es besteht ein Rechtsschutzbedürfnis des Gläubigers, die Vereitelung oder Erschwerung der Vollstr</w:t>
      </w:r>
      <w:r>
        <w:t>e</w:t>
      </w:r>
      <w:r>
        <w:t>ckung einer titulierten Räumungspflicht zu verhindern. Scheitert der Vollstreckungsve</w:t>
      </w:r>
      <w:r>
        <w:t>r</w:t>
      </w:r>
      <w:r>
        <w:t>such, weil ein Dritter sich als (plötzlicher) Untermieter im Besitz der herauszugebenden Räumlichkeiten vorstellt, tritt eine solche E</w:t>
      </w:r>
      <w:r>
        <w:t>r</w:t>
      </w:r>
      <w:r>
        <w:t>schwerung ein, der mit einer Titelumschre</w:t>
      </w:r>
      <w:r>
        <w:t>i</w:t>
      </w:r>
      <w:r>
        <w:t>bung nicht wirksam begegnet werden kann. Der Vermieter hatte den Erlass einer Einstwe</w:t>
      </w:r>
      <w:r>
        <w:t>i</w:t>
      </w:r>
      <w:r>
        <w:t>ligen Verfügung auf Untersagung der Unter-, Weiter- oder sonstigen Vermietung oder Ve</w:t>
      </w:r>
      <w:r>
        <w:t>r</w:t>
      </w:r>
      <w:r>
        <w:t>pachtung und/oder die Besitz- oder Gebrauc</w:t>
      </w:r>
      <w:r>
        <w:t>h</w:t>
      </w:r>
      <w:r>
        <w:t xml:space="preserve">süberlassung der Räume oder sonstigen Sachen an Dritte beantragt. Das OLG stellt fest, dass ein Rechtsschutzbedürfnis für einen solchen Antrag besteht, dieses würde nur dann fehlen, wenn das Rechtsschutzziel auf einfacherem und billigerem Weg erreicht werden könnte. Eine Umschreibung des Titels ist kein solcher Weg. </w:t>
      </w:r>
    </w:p>
    <w:p w:rsidR="003D22CC" w:rsidRDefault="002004DE" w:rsidP="00232F4F">
      <w:pPr>
        <w:pStyle w:val="KeinLeerraum"/>
        <w:rPr>
          <w:rFonts w:cs="Times New Roman"/>
        </w:rPr>
      </w:pPr>
      <w:r w:rsidRPr="00421B19">
        <w:rPr>
          <w:noProof/>
          <w:lang w:eastAsia="de-DE"/>
        </w:rPr>
        <mc:AlternateContent>
          <mc:Choice Requires="wps">
            <w:drawing>
              <wp:anchor distT="0" distB="0" distL="114300" distR="114300" simplePos="0" relativeHeight="251661312" behindDoc="0" locked="0" layoutInCell="1" allowOverlap="1" wp14:anchorId="465E932E" wp14:editId="35412986">
                <wp:simplePos x="0" y="0"/>
                <wp:positionH relativeFrom="column">
                  <wp:posOffset>50478</wp:posOffset>
                </wp:positionH>
                <wp:positionV relativeFrom="paragraph">
                  <wp:posOffset>105699</wp:posOffset>
                </wp:positionV>
                <wp:extent cx="2571008" cy="1858010"/>
                <wp:effectExtent l="0" t="0" r="20320" b="279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008" cy="1858010"/>
                        </a:xfrm>
                        <a:prstGeom prst="rect">
                          <a:avLst/>
                        </a:prstGeom>
                        <a:solidFill>
                          <a:srgbClr val="FFFFFF"/>
                        </a:solidFill>
                        <a:ln w="9525">
                          <a:solidFill>
                            <a:srgbClr val="000000"/>
                          </a:solidFill>
                          <a:miter lim="800000"/>
                          <a:headEnd/>
                          <a:tailEnd/>
                        </a:ln>
                      </wps:spPr>
                      <wps:txbx>
                        <w:txbxContent>
                          <w:p w:rsidR="005226BB" w:rsidRDefault="005226BB" w:rsidP="005226BB">
                            <w:pPr>
                              <w:spacing w:after="0" w:line="240" w:lineRule="auto"/>
                              <w:jc w:val="center"/>
                              <w:rPr>
                                <w:rFonts w:ascii="Copperplate33BC" w:hAnsi="Copperplate33BC"/>
                              </w:rPr>
                            </w:pPr>
                            <w:r>
                              <w:rPr>
                                <w:rFonts w:ascii="Copperplate33BC" w:hAnsi="Copperplate33BC"/>
                              </w:rPr>
                              <w:t>Luithlen  &amp;  v. Stackelberg</w:t>
                            </w:r>
                          </w:p>
                          <w:p w:rsidR="005226BB" w:rsidRPr="00C56C01" w:rsidRDefault="005226BB" w:rsidP="005226BB">
                            <w:pPr>
                              <w:spacing w:after="0" w:line="240" w:lineRule="auto"/>
                              <w:jc w:val="center"/>
                              <w:rPr>
                                <w:rFonts w:ascii="Copperplate32BC" w:hAnsi="Copperplate32BC"/>
                                <w:sz w:val="20"/>
                              </w:rPr>
                            </w:pPr>
                            <w:r w:rsidRPr="00C56C01">
                              <w:rPr>
                                <w:rFonts w:ascii="Copperplate32BC" w:hAnsi="Copperplate32BC"/>
                                <w:sz w:val="20"/>
                              </w:rPr>
                              <w:t>Rechtsanwälte</w:t>
                            </w:r>
                          </w:p>
                          <w:p w:rsidR="005226BB" w:rsidRPr="00C56C01" w:rsidRDefault="005226BB" w:rsidP="005226BB">
                            <w:pPr>
                              <w:spacing w:after="0" w:line="240" w:lineRule="auto"/>
                              <w:rPr>
                                <w:rFonts w:ascii="Copperplate32BC" w:hAnsi="Copperplate32BC"/>
                                <w:sz w:val="16"/>
                              </w:rPr>
                            </w:pPr>
                          </w:p>
                          <w:p w:rsidR="005226BB" w:rsidRDefault="005226BB" w:rsidP="005226BB">
                            <w:pPr>
                              <w:spacing w:after="0" w:line="120" w:lineRule="exact"/>
                              <w:rPr>
                                <w:rFonts w:ascii="Copperplate32BC" w:hAnsi="Copperplate32BC"/>
                                <w:sz w:val="16"/>
                              </w:rPr>
                            </w:pPr>
                            <w:r w:rsidRPr="00C56C01">
                              <w:rPr>
                                <w:rFonts w:ascii="Copperplate32BC" w:hAnsi="Copperplate32BC"/>
                                <w:sz w:val="16"/>
                              </w:rPr>
                              <w:t>Dr. Jens Becker Platen</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Michaela Schmidt-Eberth</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Michael Hopp</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Heinrich Frhr. v. Stackelberg</w:t>
                            </w:r>
                          </w:p>
                          <w:p w:rsidR="005226BB" w:rsidRDefault="005226BB" w:rsidP="005226BB">
                            <w:pPr>
                              <w:spacing w:after="0" w:line="120" w:lineRule="exact"/>
                              <w:rPr>
                                <w:rFonts w:cs="Times New Roman"/>
                                <w:sz w:val="12"/>
                              </w:rPr>
                            </w:pPr>
                            <w:r>
                              <w:rPr>
                                <w:rFonts w:cs="Times New Roman"/>
                                <w:sz w:val="12"/>
                              </w:rPr>
                              <w:t xml:space="preserve">        Rechtsanwalt,</w:t>
                            </w:r>
                          </w:p>
                          <w:p w:rsidR="005226BB" w:rsidRPr="00745155" w:rsidRDefault="005226BB" w:rsidP="005226BB">
                            <w:pPr>
                              <w:spacing w:after="0" w:line="120" w:lineRule="exact"/>
                              <w:rPr>
                                <w:rFonts w:cs="Times New Roman"/>
                                <w:sz w:val="6"/>
                              </w:rPr>
                            </w:pPr>
                          </w:p>
                          <w:p w:rsidR="005226BB" w:rsidRDefault="005226BB" w:rsidP="005226BB">
                            <w:pPr>
                              <w:spacing w:after="0" w:line="120" w:lineRule="exact"/>
                              <w:rPr>
                                <w:rFonts w:ascii="Copperplate32BC" w:hAnsi="Copperplate32BC"/>
                              </w:rPr>
                            </w:pPr>
                            <w:r w:rsidRPr="00C56C01">
                              <w:rPr>
                                <w:rFonts w:ascii="Copperplate32BC" w:hAnsi="Copperplate32BC"/>
                                <w:sz w:val="16"/>
                              </w:rPr>
                              <w:t>Thomas Luithlen</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w:t>
                            </w:r>
                          </w:p>
                          <w:p w:rsidR="005226BB" w:rsidRPr="00745155" w:rsidRDefault="005226BB" w:rsidP="005226BB">
                            <w:pPr>
                              <w:spacing w:after="0" w:line="240" w:lineRule="auto"/>
                              <w:rPr>
                                <w:rFonts w:ascii="Copperplate32BC" w:hAnsi="Copperplate32BC"/>
                                <w:sz w:val="14"/>
                              </w:rPr>
                            </w:pP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95pt;margin-top:8.3pt;width:202.45pt;height:1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">
                <v:textbox>
                  <w:txbxContent>
                    <w:p w:rsidR="005226BB" w:rsidRDefault="005226BB" w:rsidP="005226BB">
                      <w:pPr>
                        <w:spacing w:after="0" w:line="240" w:lineRule="auto"/>
                        <w:jc w:val="center"/>
                        <w:rPr>
                          <w:rFonts w:ascii="Copperplate33BC" w:hAnsi="Copperplate33BC"/>
                        </w:rPr>
                      </w:pPr>
                      <w:r>
                        <w:rPr>
                          <w:rFonts w:ascii="Copperplate33BC" w:hAnsi="Copperplate33BC"/>
                        </w:rPr>
                        <w:t>Luithlen  &amp;  v. Stackelberg</w:t>
                      </w:r>
                    </w:p>
                    <w:p w:rsidR="005226BB" w:rsidRPr="00C56C01" w:rsidRDefault="005226BB" w:rsidP="005226BB">
                      <w:pPr>
                        <w:spacing w:after="0" w:line="240" w:lineRule="auto"/>
                        <w:jc w:val="center"/>
                        <w:rPr>
                          <w:rFonts w:ascii="Copperplate32BC" w:hAnsi="Copperplate32BC"/>
                          <w:sz w:val="20"/>
                        </w:rPr>
                      </w:pPr>
                      <w:r w:rsidRPr="00C56C01">
                        <w:rPr>
                          <w:rFonts w:ascii="Copperplate32BC" w:hAnsi="Copperplate32BC"/>
                          <w:sz w:val="20"/>
                        </w:rPr>
                        <w:t>Rechtsanwälte</w:t>
                      </w:r>
                    </w:p>
                    <w:p w:rsidR="005226BB" w:rsidRPr="00C56C01" w:rsidRDefault="005226BB" w:rsidP="005226BB">
                      <w:pPr>
                        <w:spacing w:after="0" w:line="240" w:lineRule="auto"/>
                        <w:rPr>
                          <w:rFonts w:ascii="Copperplate32BC" w:hAnsi="Copperplate32BC"/>
                          <w:sz w:val="16"/>
                        </w:rPr>
                      </w:pPr>
                    </w:p>
                    <w:p w:rsidR="005226BB" w:rsidRDefault="005226BB" w:rsidP="005226BB">
                      <w:pPr>
                        <w:spacing w:after="0" w:line="120" w:lineRule="exact"/>
                        <w:rPr>
                          <w:rFonts w:ascii="Copperplate32BC" w:hAnsi="Copperplate32BC"/>
                          <w:sz w:val="16"/>
                        </w:rPr>
                      </w:pPr>
                      <w:r w:rsidRPr="00C56C01">
                        <w:rPr>
                          <w:rFonts w:ascii="Copperplate32BC" w:hAnsi="Copperplate32BC"/>
                          <w:sz w:val="16"/>
                        </w:rPr>
                        <w:t>Dr. Jens Becker Platen</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Michaela Schmidt-Eberth</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Michael Hopp</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Heinrich Frhr. v. Stackelberg</w:t>
                      </w:r>
                    </w:p>
                    <w:p w:rsidR="005226BB" w:rsidRDefault="005226BB" w:rsidP="005226BB">
                      <w:pPr>
                        <w:spacing w:after="0" w:line="120" w:lineRule="exact"/>
                        <w:rPr>
                          <w:rFonts w:cs="Times New Roman"/>
                          <w:sz w:val="12"/>
                        </w:rPr>
                      </w:pPr>
                      <w:r>
                        <w:rPr>
                          <w:rFonts w:cs="Times New Roman"/>
                          <w:sz w:val="12"/>
                        </w:rPr>
                        <w:t xml:space="preserve">        Rechtsanwalt,</w:t>
                      </w:r>
                    </w:p>
                    <w:p w:rsidR="005226BB" w:rsidRPr="00745155" w:rsidRDefault="005226BB" w:rsidP="005226BB">
                      <w:pPr>
                        <w:spacing w:after="0" w:line="120" w:lineRule="exact"/>
                        <w:rPr>
                          <w:rFonts w:cs="Times New Roman"/>
                          <w:sz w:val="6"/>
                        </w:rPr>
                      </w:pPr>
                    </w:p>
                    <w:p w:rsidR="005226BB" w:rsidRDefault="005226BB" w:rsidP="005226BB">
                      <w:pPr>
                        <w:spacing w:after="0" w:line="120" w:lineRule="exact"/>
                        <w:rPr>
                          <w:rFonts w:ascii="Copperplate32BC" w:hAnsi="Copperplate32BC"/>
                        </w:rPr>
                      </w:pPr>
                      <w:r w:rsidRPr="00C56C01">
                        <w:rPr>
                          <w:rFonts w:ascii="Copperplate32BC" w:hAnsi="Copperplate32BC"/>
                          <w:sz w:val="16"/>
                        </w:rPr>
                        <w:t>Thomas Luithlen</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w:t>
                      </w:r>
                    </w:p>
                    <w:p w:rsidR="005226BB" w:rsidRPr="00745155" w:rsidRDefault="005226BB" w:rsidP="005226BB">
                      <w:pPr>
                        <w:spacing w:after="0" w:line="240" w:lineRule="auto"/>
                        <w:rPr>
                          <w:rFonts w:ascii="Copperplate32BC" w:hAnsi="Copperplate32BC"/>
                          <w:sz w:val="14"/>
                        </w:rPr>
                      </w:pP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v:textbox>
              </v:shape>
            </w:pict>
          </mc:Fallback>
        </mc:AlternateContent>
      </w:r>
    </w:p>
    <w:p w:rsidR="003B5986" w:rsidRDefault="003B5986" w:rsidP="00232F4F">
      <w:pPr>
        <w:pStyle w:val="KeinLeerraum"/>
        <w:rPr>
          <w:rFonts w:cs="Times New Roman"/>
        </w:rPr>
      </w:pPr>
    </w:p>
    <w:p w:rsidR="003B5986" w:rsidRDefault="003B5986" w:rsidP="00232F4F">
      <w:pPr>
        <w:pStyle w:val="KeinLeerraum"/>
        <w:rPr>
          <w:rFonts w:cs="Times New Roman"/>
        </w:rPr>
      </w:pPr>
    </w:p>
    <w:p w:rsidR="003B5986" w:rsidRDefault="003B5986" w:rsidP="00232F4F">
      <w:pPr>
        <w:pStyle w:val="KeinLeerraum"/>
        <w:rPr>
          <w:rFonts w:cs="Times New Roman"/>
        </w:rPr>
      </w:pPr>
    </w:p>
    <w:p w:rsidR="003B252E" w:rsidRDefault="003B252E" w:rsidP="006D5A1E">
      <w:pPr>
        <w:spacing w:after="0" w:line="240" w:lineRule="auto"/>
        <w:rPr>
          <w:rFonts w:cs="Times New Roman"/>
        </w:rPr>
      </w:pPr>
    </w:p>
    <w:p w:rsidR="005226BB" w:rsidRDefault="005226BB" w:rsidP="006D5A1E">
      <w:pPr>
        <w:spacing w:after="0" w:line="240" w:lineRule="auto"/>
        <w:rPr>
          <w:rFonts w:cs="Times New Roman"/>
        </w:rPr>
      </w:pPr>
    </w:p>
    <w:p w:rsidR="005226BB" w:rsidRDefault="005226BB" w:rsidP="005226BB">
      <w:pPr>
        <w:spacing w:after="0" w:line="240" w:lineRule="auto"/>
        <w:rPr>
          <w:rFonts w:cs="Times New Roman"/>
        </w:rPr>
      </w:pPr>
    </w:p>
    <w:p w:rsidR="005226BB" w:rsidRDefault="005226BB" w:rsidP="006D5A1E">
      <w:pPr>
        <w:spacing w:after="0" w:line="240" w:lineRule="auto"/>
        <w:rPr>
          <w:rFonts w:cs="Times New Roman"/>
        </w:rPr>
      </w:pPr>
    </w:p>
    <w:p w:rsidR="001B6576" w:rsidRDefault="001B6576" w:rsidP="006D5A1E">
      <w:pPr>
        <w:spacing w:after="0" w:line="240" w:lineRule="auto"/>
        <w:rPr>
          <w:rFonts w:cs="Times New Roman"/>
        </w:rPr>
      </w:pPr>
    </w:p>
    <w:p w:rsidR="001B6576" w:rsidRDefault="001B6576" w:rsidP="006D5A1E">
      <w:pPr>
        <w:spacing w:after="0" w:line="240" w:lineRule="auto"/>
        <w:rPr>
          <w:rFonts w:cs="Times New Roman"/>
        </w:rPr>
      </w:pPr>
    </w:p>
    <w:p w:rsidR="006D5A1E" w:rsidRPr="00421B19" w:rsidRDefault="006D5A1E" w:rsidP="006D5A1E">
      <w:pPr>
        <w:spacing w:after="0" w:line="240" w:lineRule="auto"/>
        <w:rPr>
          <w:rFonts w:cs="Times New Roman"/>
        </w:rPr>
      </w:pPr>
    </w:p>
    <w:p w:rsidR="006D5A1E" w:rsidRPr="00421B19" w:rsidRDefault="006D5A1E" w:rsidP="006D5A1E">
      <w:pPr>
        <w:spacing w:after="0" w:line="240" w:lineRule="auto"/>
        <w:rPr>
          <w:rFonts w:cs="Times New Roman"/>
        </w:rPr>
      </w:pPr>
    </w:p>
    <w:p w:rsidR="0035647B" w:rsidRPr="00421B19" w:rsidRDefault="0035647B">
      <w:bookmarkStart w:id="0" w:name="_GoBack"/>
      <w:bookmarkEnd w:id="0"/>
    </w:p>
    <w:sectPr w:rsidR="0035647B" w:rsidRPr="00421B19" w:rsidSect="00F1158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30C57"/>
    <w:rsid w:val="00037A29"/>
    <w:rsid w:val="0005639D"/>
    <w:rsid w:val="0005726D"/>
    <w:rsid w:val="000669C3"/>
    <w:rsid w:val="000874D5"/>
    <w:rsid w:val="000C477F"/>
    <w:rsid w:val="000C6C0A"/>
    <w:rsid w:val="000F1727"/>
    <w:rsid w:val="00101E98"/>
    <w:rsid w:val="00111066"/>
    <w:rsid w:val="0011246D"/>
    <w:rsid w:val="00124835"/>
    <w:rsid w:val="00134C7F"/>
    <w:rsid w:val="001375AE"/>
    <w:rsid w:val="001745A0"/>
    <w:rsid w:val="00175CBB"/>
    <w:rsid w:val="001A57EF"/>
    <w:rsid w:val="001B2F23"/>
    <w:rsid w:val="001B6576"/>
    <w:rsid w:val="001C1780"/>
    <w:rsid w:val="001E5925"/>
    <w:rsid w:val="002004DE"/>
    <w:rsid w:val="00201A3E"/>
    <w:rsid w:val="002134DA"/>
    <w:rsid w:val="0022361D"/>
    <w:rsid w:val="00230551"/>
    <w:rsid w:val="00232F4F"/>
    <w:rsid w:val="002370DE"/>
    <w:rsid w:val="00265A05"/>
    <w:rsid w:val="00271141"/>
    <w:rsid w:val="002A7469"/>
    <w:rsid w:val="002A7A9D"/>
    <w:rsid w:val="002B4C94"/>
    <w:rsid w:val="002E0B91"/>
    <w:rsid w:val="003001E5"/>
    <w:rsid w:val="00301F0E"/>
    <w:rsid w:val="0030310E"/>
    <w:rsid w:val="00310591"/>
    <w:rsid w:val="00311678"/>
    <w:rsid w:val="003137BB"/>
    <w:rsid w:val="00314880"/>
    <w:rsid w:val="0032057B"/>
    <w:rsid w:val="0032308D"/>
    <w:rsid w:val="00327D32"/>
    <w:rsid w:val="00336775"/>
    <w:rsid w:val="003522CD"/>
    <w:rsid w:val="0035647B"/>
    <w:rsid w:val="00360D25"/>
    <w:rsid w:val="00365C81"/>
    <w:rsid w:val="00376F02"/>
    <w:rsid w:val="003805D4"/>
    <w:rsid w:val="003A3D51"/>
    <w:rsid w:val="003A4136"/>
    <w:rsid w:val="003B252E"/>
    <w:rsid w:val="003B5986"/>
    <w:rsid w:val="003D006E"/>
    <w:rsid w:val="003D22CC"/>
    <w:rsid w:val="003D7858"/>
    <w:rsid w:val="003E1559"/>
    <w:rsid w:val="003E59C5"/>
    <w:rsid w:val="004048FD"/>
    <w:rsid w:val="00421B19"/>
    <w:rsid w:val="00452DD5"/>
    <w:rsid w:val="00463FF8"/>
    <w:rsid w:val="00475064"/>
    <w:rsid w:val="004853B0"/>
    <w:rsid w:val="004B2D14"/>
    <w:rsid w:val="004C6668"/>
    <w:rsid w:val="004E212C"/>
    <w:rsid w:val="004E5B6E"/>
    <w:rsid w:val="004F041F"/>
    <w:rsid w:val="004F0F1C"/>
    <w:rsid w:val="00504CA6"/>
    <w:rsid w:val="005226BB"/>
    <w:rsid w:val="00545294"/>
    <w:rsid w:val="00551ADB"/>
    <w:rsid w:val="00552B5C"/>
    <w:rsid w:val="00566C7E"/>
    <w:rsid w:val="005779EB"/>
    <w:rsid w:val="0058003F"/>
    <w:rsid w:val="0058014E"/>
    <w:rsid w:val="00582153"/>
    <w:rsid w:val="005927E9"/>
    <w:rsid w:val="0059626E"/>
    <w:rsid w:val="005B71F4"/>
    <w:rsid w:val="005C553D"/>
    <w:rsid w:val="005D13B1"/>
    <w:rsid w:val="006361D2"/>
    <w:rsid w:val="0069034D"/>
    <w:rsid w:val="006925CB"/>
    <w:rsid w:val="006C7730"/>
    <w:rsid w:val="006D5A1E"/>
    <w:rsid w:val="0075664B"/>
    <w:rsid w:val="00763C22"/>
    <w:rsid w:val="0076545E"/>
    <w:rsid w:val="00776757"/>
    <w:rsid w:val="00776EB2"/>
    <w:rsid w:val="0078104E"/>
    <w:rsid w:val="007858A6"/>
    <w:rsid w:val="007961AB"/>
    <w:rsid w:val="007A21D0"/>
    <w:rsid w:val="007B1699"/>
    <w:rsid w:val="007B4EB6"/>
    <w:rsid w:val="007E1245"/>
    <w:rsid w:val="007E4EC5"/>
    <w:rsid w:val="007E7331"/>
    <w:rsid w:val="007F1514"/>
    <w:rsid w:val="007F1946"/>
    <w:rsid w:val="007F27F9"/>
    <w:rsid w:val="00807875"/>
    <w:rsid w:val="0082772A"/>
    <w:rsid w:val="008420B0"/>
    <w:rsid w:val="008802A9"/>
    <w:rsid w:val="00885A97"/>
    <w:rsid w:val="00890A5D"/>
    <w:rsid w:val="008972B3"/>
    <w:rsid w:val="008A25EE"/>
    <w:rsid w:val="008E1688"/>
    <w:rsid w:val="008F6FB7"/>
    <w:rsid w:val="00907E5D"/>
    <w:rsid w:val="009360D0"/>
    <w:rsid w:val="00941952"/>
    <w:rsid w:val="00942C61"/>
    <w:rsid w:val="00946D50"/>
    <w:rsid w:val="009578BB"/>
    <w:rsid w:val="00970543"/>
    <w:rsid w:val="00983E19"/>
    <w:rsid w:val="009925EF"/>
    <w:rsid w:val="00995261"/>
    <w:rsid w:val="00996E43"/>
    <w:rsid w:val="009A334A"/>
    <w:rsid w:val="009C21B2"/>
    <w:rsid w:val="009C59AB"/>
    <w:rsid w:val="009E3F68"/>
    <w:rsid w:val="00A01125"/>
    <w:rsid w:val="00A233C0"/>
    <w:rsid w:val="00A266BF"/>
    <w:rsid w:val="00A4659F"/>
    <w:rsid w:val="00A563F1"/>
    <w:rsid w:val="00A66F4F"/>
    <w:rsid w:val="00A70069"/>
    <w:rsid w:val="00A81434"/>
    <w:rsid w:val="00AA3329"/>
    <w:rsid w:val="00AD00D9"/>
    <w:rsid w:val="00AF57D7"/>
    <w:rsid w:val="00AF6168"/>
    <w:rsid w:val="00AF6CAB"/>
    <w:rsid w:val="00B0503C"/>
    <w:rsid w:val="00B13894"/>
    <w:rsid w:val="00B30D91"/>
    <w:rsid w:val="00B3690C"/>
    <w:rsid w:val="00B36A2F"/>
    <w:rsid w:val="00B40FB0"/>
    <w:rsid w:val="00B41385"/>
    <w:rsid w:val="00B42ABB"/>
    <w:rsid w:val="00B43FC1"/>
    <w:rsid w:val="00B500FC"/>
    <w:rsid w:val="00B80D2C"/>
    <w:rsid w:val="00B91F93"/>
    <w:rsid w:val="00B97642"/>
    <w:rsid w:val="00BE7524"/>
    <w:rsid w:val="00C00761"/>
    <w:rsid w:val="00C162CD"/>
    <w:rsid w:val="00C25EE4"/>
    <w:rsid w:val="00C548FB"/>
    <w:rsid w:val="00C63C81"/>
    <w:rsid w:val="00C66441"/>
    <w:rsid w:val="00C76FBB"/>
    <w:rsid w:val="00C800F2"/>
    <w:rsid w:val="00C80531"/>
    <w:rsid w:val="00C817AB"/>
    <w:rsid w:val="00C81F09"/>
    <w:rsid w:val="00C97136"/>
    <w:rsid w:val="00CC3018"/>
    <w:rsid w:val="00CD0574"/>
    <w:rsid w:val="00CD42C9"/>
    <w:rsid w:val="00CE262C"/>
    <w:rsid w:val="00D30BBD"/>
    <w:rsid w:val="00D30D81"/>
    <w:rsid w:val="00D3799D"/>
    <w:rsid w:val="00D40A7E"/>
    <w:rsid w:val="00D40B3C"/>
    <w:rsid w:val="00D60B51"/>
    <w:rsid w:val="00D7215A"/>
    <w:rsid w:val="00D7229F"/>
    <w:rsid w:val="00D735C6"/>
    <w:rsid w:val="00D85E19"/>
    <w:rsid w:val="00D92A77"/>
    <w:rsid w:val="00DC281D"/>
    <w:rsid w:val="00DD28CA"/>
    <w:rsid w:val="00DD404C"/>
    <w:rsid w:val="00DE0FD1"/>
    <w:rsid w:val="00DE4F90"/>
    <w:rsid w:val="00DF083C"/>
    <w:rsid w:val="00E13739"/>
    <w:rsid w:val="00E60FAD"/>
    <w:rsid w:val="00E71BCE"/>
    <w:rsid w:val="00E76E26"/>
    <w:rsid w:val="00E77BB9"/>
    <w:rsid w:val="00E80B6B"/>
    <w:rsid w:val="00EB704E"/>
    <w:rsid w:val="00EC07D9"/>
    <w:rsid w:val="00EC6CAD"/>
    <w:rsid w:val="00EE3699"/>
    <w:rsid w:val="00EF65E1"/>
    <w:rsid w:val="00F03078"/>
    <w:rsid w:val="00F123E9"/>
    <w:rsid w:val="00F2170D"/>
    <w:rsid w:val="00F55819"/>
    <w:rsid w:val="00F61F47"/>
    <w:rsid w:val="00F83B09"/>
    <w:rsid w:val="00F95FDC"/>
    <w:rsid w:val="00FB5FDB"/>
    <w:rsid w:val="00FB7E93"/>
    <w:rsid w:val="00FE0107"/>
    <w:rsid w:val="00FE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ec2dd02c-8d1d-40e0-994e-e8797966dc21</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4CB1-C921-43F8-9FDB-3EAA5FA15166}">
  <ds:schemaRefs>
    <ds:schemaRef ds:uri="http://www.datev.de/BSOffice/999929"/>
  </ds:schemaRefs>
</ds:datastoreItem>
</file>

<file path=customXml/itemProps2.xml><?xml version="1.0" encoding="utf-8"?>
<ds:datastoreItem xmlns:ds="http://schemas.openxmlformats.org/officeDocument/2006/customXml" ds:itemID="{A94AE965-AB0D-4D0A-968A-10AF43D4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7111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Schmidt-Eberth</dc:creator>
  <cp:lastModifiedBy>Jens Becker-Platen</cp:lastModifiedBy>
  <cp:revision>8</cp:revision>
  <cp:lastPrinted>2013-12-05T15:57:00Z</cp:lastPrinted>
  <dcterms:created xsi:type="dcterms:W3CDTF">2017-12-01T10:17:00Z</dcterms:created>
  <dcterms:modified xsi:type="dcterms:W3CDTF">2017-12-29T09:00:00Z</dcterms:modified>
</cp:coreProperties>
</file>