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5A0" w:rsidRDefault="001745A0" w:rsidP="006D5A1E">
      <w:pPr>
        <w:pStyle w:val="KeinLeerraum"/>
      </w:pPr>
      <w:r w:rsidRPr="00421B19">
        <w:rPr>
          <w:noProof/>
          <w:lang w:eastAsia="de-DE"/>
        </w:rPr>
        <mc:AlternateContent>
          <mc:Choice Requires="wps">
            <w:drawing>
              <wp:anchor distT="0" distB="0" distL="114300" distR="114300" simplePos="0" relativeHeight="251659264" behindDoc="0" locked="0" layoutInCell="1" allowOverlap="1" wp14:anchorId="5C01AB30" wp14:editId="4711403B">
                <wp:simplePos x="0" y="0"/>
                <wp:positionH relativeFrom="column">
                  <wp:posOffset>-57150</wp:posOffset>
                </wp:positionH>
                <wp:positionV relativeFrom="paragraph">
                  <wp:posOffset>-135255</wp:posOffset>
                </wp:positionV>
                <wp:extent cx="2604770" cy="752475"/>
                <wp:effectExtent l="0" t="0" r="24130"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52475"/>
                        </a:xfrm>
                        <a:prstGeom prst="rect">
                          <a:avLst/>
                        </a:prstGeom>
                        <a:solidFill>
                          <a:srgbClr val="FFFFFF"/>
                        </a:solidFill>
                        <a:ln w="9525">
                          <a:solidFill>
                            <a:srgbClr val="000000"/>
                          </a:solidFill>
                          <a:miter lim="800000"/>
                          <a:headEnd/>
                          <a:tailEnd/>
                        </a:ln>
                      </wps:spPr>
                      <wps:txbx>
                        <w:txbxContent>
                          <w:p w:rsidR="00BE7524" w:rsidRDefault="00BE7524" w:rsidP="00BE7524">
                            <w:pPr>
                              <w:spacing w:after="0" w:line="240" w:lineRule="auto"/>
                              <w:jc w:val="center"/>
                              <w:rPr>
                                <w:b/>
                                <w:sz w:val="28"/>
                              </w:rPr>
                            </w:pPr>
                            <w:r w:rsidRPr="005650BE">
                              <w:rPr>
                                <w:b/>
                                <w:sz w:val="28"/>
                              </w:rPr>
                              <w:t>Mandanteninformationen</w:t>
                            </w:r>
                          </w:p>
                          <w:p w:rsidR="006D5A1E" w:rsidRPr="005650BE" w:rsidRDefault="00BE7524" w:rsidP="006D5A1E">
                            <w:pPr>
                              <w:spacing w:after="0" w:line="240" w:lineRule="auto"/>
                              <w:jc w:val="center"/>
                              <w:rPr>
                                <w:b/>
                                <w:sz w:val="28"/>
                              </w:rPr>
                            </w:pPr>
                            <w:r>
                              <w:rPr>
                                <w:b/>
                                <w:sz w:val="28"/>
                              </w:rPr>
                              <w:t>Miet- u</w:t>
                            </w:r>
                            <w:r w:rsidR="003E59C5">
                              <w:rPr>
                                <w:b/>
                                <w:sz w:val="28"/>
                              </w:rPr>
                              <w:t xml:space="preserve">nd Wohnungseigen-tumsrecht </w:t>
                            </w:r>
                            <w:r w:rsidR="00385F93">
                              <w:rPr>
                                <w:b/>
                                <w:sz w:val="28"/>
                              </w:rPr>
                              <w:t>Februar</w:t>
                            </w:r>
                            <w:r w:rsidR="00FE0107">
                              <w:rPr>
                                <w:b/>
                                <w:sz w:val="28"/>
                              </w:rPr>
                              <w:t xml:space="preserve">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5pt;margin-top:-10.65pt;width:205.1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66JQIAAEYEAAAOAAAAZHJzL2Uyb0RvYy54bWysU9tu2zAMfR+wfxD0vtjxkqY14hRdugwD&#10;ugvQ7gNkSY6FSaInKbG7ry8lu1l2exmmB0EUqSPyHHJ9PRhNjtJ5Bbai81lOibQchLL7in552L26&#10;pMQHZgXTYGVFH6Wn15uXL9Z9V8oCWtBCOoIg1pd9V9E2hK7MMs9baZifQSctOhtwhgU03T4TjvWI&#10;bnRW5PlF1oMTnQMuvcfb29FJNwm/aSQPn5rGy0B0RTG3kHaX9jru2WbNyr1jXav4lAb7hywMUxY/&#10;PUHdssDIwanfoIziDjw0YcbBZNA0istUA1Yzz3+p5r5lnUy1IDm+O9Hk/x8s/3j87IgSFX2dryix&#10;zKBID3IIjdSCFJGfvvMlht13GBiGNzCgzqlW390B/+qJhW3L7F7eOAd9K5nA/ObxZXb2dMTxEaTu&#10;P4DAb9ghQAIaGmcieUgHQXTU6fGkDaZCOF4WF/litUIXR99qWSxWy/QFK59fd86HdxIMiYeKOtQ+&#10;obPjnQ8xG1Y+h8TPPGgldkrrZLh9vdWOHBn2yS6tCf2nMG1JX9GrZbEcCfgrRJ7WnyCMCtjwWpmK&#10;Xp6CWBlpe2tFasfAlB7PmLK2E4+RupHEMNTDpEsN4hEZdTA2Ng4iHlpw3ynpsakr6r8dmJOU6PcW&#10;VbmaLxZxCpKxWK4KNNy5pz73MMsRqqKBkvG4DWlyImEWblC9RiVio8xjJlOu2KyJ72mw4jSc2ynq&#10;x/hvngAAAP//AwBQSwMEFAAGAAgAAAAhAGkAHBHhAAAACQEAAA8AAABkcnMvZG93bnJldi54bWxM&#10;j8FOwzAQRO9I/IO1SFxQ6ySt2ibEqRASCG6lILi68TaJsNchdtPw9ywnOI1WM5p9U24nZ8WIQ+g8&#10;KUjnCQik2puOGgVvrw+zDYgQNRltPaGCbwywrS4vSl0Yf6YXHPexEVxCodAK2hj7QspQt+h0mPse&#10;ib2jH5yOfA6NNIM+c7mzMkuSlXS6I/7Q6h7vW6w/9yenYLN8Gj/C82L3Xq+ONo836/Hxa1Dq+mq6&#10;uwURcYp/YfjFZ3SomOngT2SCsApmOU+JrFm6AMGBZZJmIA4K8nUGsirl/wXVDwAAAP//AwBQSwEC&#10;LQAUAAYACAAAACEAtoM4kv4AAADhAQAAEwAAAAAAAAAAAAAAAAAAAAAAW0NvbnRlbnRfVHlwZXNd&#10;LnhtbFBLAQItABQABgAIAAAAIQA4/SH/1gAAAJQBAAALAAAAAAAAAAAAAAAAAC8BAABfcmVscy8u&#10;cmVsc1BLAQItABQABgAIAAAAIQA5nM66JQIAAEYEAAAOAAAAAAAAAAAAAAAAAC4CAABkcnMvZTJv&#10;RG9jLnhtbFBLAQItABQABgAIAAAAIQBpABwR4QAAAAkBAAAPAAAAAAAAAAAAAAAAAH8EAABkcnMv&#10;ZG93bnJldi54bWxQSwUGAAAAAAQABADzAAAAjQUAAAAA&#10;">
                <v:textbox>
                  <w:txbxContent>
                    <w:p w:rsidR="00BE7524" w:rsidRDefault="00BE7524" w:rsidP="00BE7524">
                      <w:pPr>
                        <w:spacing w:after="0" w:line="240" w:lineRule="auto"/>
                        <w:jc w:val="center"/>
                        <w:rPr>
                          <w:b/>
                          <w:sz w:val="28"/>
                        </w:rPr>
                      </w:pPr>
                      <w:r w:rsidRPr="005650BE">
                        <w:rPr>
                          <w:b/>
                          <w:sz w:val="28"/>
                        </w:rPr>
                        <w:t>Mandanteninformationen</w:t>
                      </w:r>
                    </w:p>
                    <w:p w:rsidR="006D5A1E" w:rsidRPr="005650BE" w:rsidRDefault="00BE7524" w:rsidP="006D5A1E">
                      <w:pPr>
                        <w:spacing w:after="0" w:line="240" w:lineRule="auto"/>
                        <w:jc w:val="center"/>
                        <w:rPr>
                          <w:b/>
                          <w:sz w:val="28"/>
                        </w:rPr>
                      </w:pPr>
                      <w:r>
                        <w:rPr>
                          <w:b/>
                          <w:sz w:val="28"/>
                        </w:rPr>
                        <w:t>Miet- u</w:t>
                      </w:r>
                      <w:r w:rsidR="003E59C5">
                        <w:rPr>
                          <w:b/>
                          <w:sz w:val="28"/>
                        </w:rPr>
                        <w:t xml:space="preserve">nd Wohnungseigen-tumsrecht </w:t>
                      </w:r>
                      <w:r w:rsidR="00385F93">
                        <w:rPr>
                          <w:b/>
                          <w:sz w:val="28"/>
                        </w:rPr>
                        <w:t>Februar</w:t>
                      </w:r>
                      <w:bookmarkStart w:id="1" w:name="_GoBack"/>
                      <w:bookmarkEnd w:id="1"/>
                      <w:r w:rsidR="00FE0107">
                        <w:rPr>
                          <w:b/>
                          <w:sz w:val="28"/>
                        </w:rPr>
                        <w:t xml:space="preserve"> 2018</w:t>
                      </w:r>
                    </w:p>
                  </w:txbxContent>
                </v:textbox>
              </v:shape>
            </w:pict>
          </mc:Fallback>
        </mc:AlternateContent>
      </w:r>
    </w:p>
    <w:p w:rsidR="001745A0" w:rsidRDefault="001745A0" w:rsidP="006D5A1E">
      <w:pPr>
        <w:pStyle w:val="KeinLeerraum"/>
      </w:pPr>
    </w:p>
    <w:p w:rsidR="001745A0" w:rsidRDefault="001745A0" w:rsidP="006D5A1E">
      <w:pPr>
        <w:pStyle w:val="KeinLeerraum"/>
      </w:pPr>
    </w:p>
    <w:p w:rsidR="001745A0" w:rsidRDefault="001745A0" w:rsidP="006D5A1E">
      <w:pPr>
        <w:pStyle w:val="KeinLeerraum"/>
      </w:pPr>
    </w:p>
    <w:p w:rsidR="001745A0" w:rsidRDefault="001745A0" w:rsidP="006D5A1E">
      <w:pPr>
        <w:pStyle w:val="KeinLeerraum"/>
      </w:pPr>
    </w:p>
    <w:p w:rsidR="001745A0" w:rsidRDefault="001745A0" w:rsidP="006D5A1E">
      <w:pPr>
        <w:pStyle w:val="KeinLeerraum"/>
      </w:pPr>
    </w:p>
    <w:p w:rsidR="001745A0" w:rsidRDefault="001745A0" w:rsidP="006D5A1E">
      <w:pPr>
        <w:pStyle w:val="KeinLeerraum"/>
      </w:pPr>
    </w:p>
    <w:p w:rsidR="00A266BF" w:rsidRDefault="00A266BF" w:rsidP="006D5A1E">
      <w:pPr>
        <w:pStyle w:val="KeinLeerraum"/>
      </w:pPr>
    </w:p>
    <w:p w:rsidR="00A266BF" w:rsidRDefault="00A266BF" w:rsidP="006D5A1E">
      <w:pPr>
        <w:pStyle w:val="KeinLeerraum"/>
      </w:pPr>
      <w:r>
        <w:t xml:space="preserve">Das </w:t>
      </w:r>
      <w:r>
        <w:rPr>
          <w:b/>
        </w:rPr>
        <w:t>Kammergericht Berlin</w:t>
      </w:r>
      <w:r>
        <w:t xml:space="preserve"> hat mit </w:t>
      </w:r>
      <w:r w:rsidR="001E1622">
        <w:t>Beschluss</w:t>
      </w:r>
      <w:r>
        <w:t xml:space="preserve"> vom 02.08.2017 entschieden, dass bei unb</w:t>
      </w:r>
      <w:r>
        <w:t>e</w:t>
      </w:r>
      <w:r>
        <w:t>kannten Erben eines verstorbenen Woh</w:t>
      </w:r>
      <w:r>
        <w:t>n</w:t>
      </w:r>
      <w:r>
        <w:t>raummieters durch das Nachlassgericht gemäß § 1961 BGB eine Nachlasspflegschaft anz</w:t>
      </w:r>
      <w:r>
        <w:t>u</w:t>
      </w:r>
      <w:r>
        <w:t>ordnen ist, sofern der Vermieter dies beantragt, um einen Anspruch gegen den Nachlass auf Räumung geltend zu machen. Der Umstand, dass der Mieter vermögenslos war bzw. der Nachlass voraussichtlich dürftig ist, steht di</w:t>
      </w:r>
      <w:r>
        <w:t>e</w:t>
      </w:r>
      <w:r>
        <w:t xml:space="preserve">sem nicht entgegen. </w:t>
      </w:r>
    </w:p>
    <w:p w:rsidR="007F20B5" w:rsidRDefault="007F20B5" w:rsidP="006D5A1E">
      <w:pPr>
        <w:pStyle w:val="KeinLeerraum"/>
      </w:pPr>
    </w:p>
    <w:p w:rsidR="007F20B5" w:rsidRDefault="007F20B5" w:rsidP="006D5A1E">
      <w:pPr>
        <w:pStyle w:val="KeinLeerraum"/>
      </w:pPr>
      <w:r>
        <w:t xml:space="preserve">Das </w:t>
      </w:r>
      <w:r w:rsidRPr="00493550">
        <w:rPr>
          <w:b/>
        </w:rPr>
        <w:t>Landgericht Berlin</w:t>
      </w:r>
      <w:r>
        <w:t xml:space="preserve"> hat mit Urteil vom 18.10.2017 entschieden, dass der Vermieter dem Mieter eine Bescheinigung über die Ko</w:t>
      </w:r>
      <w:r>
        <w:t>s</w:t>
      </w:r>
      <w:r>
        <w:t>ten für haushaltsnahe Dienstleistungen ausste</w:t>
      </w:r>
      <w:r>
        <w:t>l</w:t>
      </w:r>
      <w:r>
        <w:t>len muss. Hierbei braucht es sich jedoch nicht um eine Bescheinigung über haushaltsnahe</w:t>
      </w:r>
      <w:r w:rsidR="00493550">
        <w:t xml:space="preserve"> Dienstleistungen gem. § 35a Est</w:t>
      </w:r>
      <w:r>
        <w:t>G zu handeln. Vielmehr reicht es aus, wenn die bereits vo</w:t>
      </w:r>
      <w:r>
        <w:t>r</w:t>
      </w:r>
      <w:r>
        <w:t>liegende Betriebskostenabrechnung in der Weise erläutert wird, dass der Mieter alle auf haushaltsnahe Dienstleistungen entfallenden Kosten beziffern kann. Ausreichend ist, wenn der Mieter hierzu aus der Jahresabrechnung hinsichtlich der einzelnen Nebenkostenarten den jeweiligen Anteil für haushaltsnahe Dienstleistungen entnehmen kann, soweit dies für die steuerliche Geltendmachung erforde</w:t>
      </w:r>
      <w:r>
        <w:t>r</w:t>
      </w:r>
      <w:r>
        <w:t>lich ist. Es handelt sich dabei um eine vertra</w:t>
      </w:r>
      <w:r>
        <w:t>g</w:t>
      </w:r>
      <w:r>
        <w:t>liche Nebenpflicht des Vermieters die sich aus Treu und Glauben gem. §§ 241,242 BGB ergibt. Das Urteil ist nicht rechtskräftig, die Revision zum BGH wurde zugelassen.</w:t>
      </w:r>
    </w:p>
    <w:p w:rsidR="007F20B5" w:rsidRDefault="007F20B5" w:rsidP="006D5A1E">
      <w:pPr>
        <w:pStyle w:val="KeinLeerraum"/>
      </w:pPr>
    </w:p>
    <w:p w:rsidR="007F20B5" w:rsidRDefault="007F20B5" w:rsidP="006D5A1E">
      <w:pPr>
        <w:pStyle w:val="KeinLeerraum"/>
      </w:pPr>
      <w:r>
        <w:t xml:space="preserve">Das </w:t>
      </w:r>
      <w:r w:rsidRPr="00493550">
        <w:rPr>
          <w:b/>
        </w:rPr>
        <w:t>Amtsgericht Grimma</w:t>
      </w:r>
      <w:r>
        <w:t xml:space="preserve"> hat mit Urteil vom 20.10.2017 entschieden, dass sowohl Bau</w:t>
      </w:r>
      <w:r>
        <w:t>m</w:t>
      </w:r>
      <w:r>
        <w:t>fällkosten als auch die Kosten für eine Ersat</w:t>
      </w:r>
      <w:r>
        <w:t>z</w:t>
      </w:r>
      <w:r>
        <w:t>pflanzung nicht unter § 1 Abs. 1 Satz 1 B</w:t>
      </w:r>
      <w:r>
        <w:t>e</w:t>
      </w:r>
      <w:r>
        <w:t xml:space="preserve">triebskostenverordnung fallen, da es sich dabei nicht um laufende Kosten handelt. Um als laufende Kosten zu gelten, müssen die Kosten zwar nicht jährlich, aber doch </w:t>
      </w:r>
      <w:r w:rsidR="00E147D7">
        <w:t xml:space="preserve">relativ </w:t>
      </w:r>
      <w:r>
        <w:t>regelm</w:t>
      </w:r>
      <w:r>
        <w:t>ä</w:t>
      </w:r>
      <w:r>
        <w:t>ßig anfallen. Das ist bei Baumfällarbeiten nicht der Fall, da diese Arbeiten in Anbetracht der langen Lebensdauer von Bäumen außerorden</w:t>
      </w:r>
      <w:r>
        <w:t>t</w:t>
      </w:r>
      <w:r>
        <w:t xml:space="preserve">liche Maßnahmen darstellen. </w:t>
      </w:r>
    </w:p>
    <w:p w:rsidR="007F20B5" w:rsidRDefault="007F20B5" w:rsidP="006D5A1E">
      <w:pPr>
        <w:pStyle w:val="KeinLeerraum"/>
      </w:pPr>
    </w:p>
    <w:p w:rsidR="007F20B5" w:rsidRDefault="007F20B5" w:rsidP="006D5A1E">
      <w:pPr>
        <w:pStyle w:val="KeinLeerraum"/>
      </w:pPr>
      <w:r>
        <w:lastRenderedPageBreak/>
        <w:t xml:space="preserve">Der </w:t>
      </w:r>
      <w:r w:rsidRPr="00493550">
        <w:rPr>
          <w:b/>
        </w:rPr>
        <w:t>BGH</w:t>
      </w:r>
      <w:r>
        <w:t xml:space="preserve"> hat mit Urteil vom 13.10.2017 en</w:t>
      </w:r>
      <w:r>
        <w:t>t</w:t>
      </w:r>
      <w:r>
        <w:t>schieden, dass Unterlassungs- und Beseit</w:t>
      </w:r>
      <w:r>
        <w:t>i</w:t>
      </w:r>
      <w:r>
        <w:t xml:space="preserve">gungsanprüche aus dem </w:t>
      </w:r>
      <w:r w:rsidR="000A7DE0">
        <w:t xml:space="preserve">Miteigentum am </w:t>
      </w:r>
      <w:r w:rsidR="00E147D7">
        <w:t>W</w:t>
      </w:r>
      <w:r w:rsidR="000A7DE0">
        <w:t>EG-Grundstück gegen den Grundstück</w:t>
      </w:r>
      <w:r w:rsidR="000A7DE0">
        <w:t>s</w:t>
      </w:r>
      <w:r w:rsidR="000A7DE0">
        <w:t>nachbarn nicht gemeinschaftsbezogen im Si</w:t>
      </w:r>
      <w:r w:rsidR="000A7DE0">
        <w:t>n</w:t>
      </w:r>
      <w:r w:rsidR="000A7DE0">
        <w:t xml:space="preserve">ne von § 10 Abs. 6 Satz 3 WEG sind. Der BGH durchbricht damit die bisherige </w:t>
      </w:r>
      <w:r w:rsidR="001E1622">
        <w:t>Rech</w:t>
      </w:r>
      <w:r w:rsidR="001E1622">
        <w:t>t</w:t>
      </w:r>
      <w:r w:rsidR="001E1622">
        <w:t>sprechung</w:t>
      </w:r>
      <w:r w:rsidR="000A7DE0">
        <w:t xml:space="preserve"> hinsichtlich der gemeinschaftsbez</w:t>
      </w:r>
      <w:r w:rsidR="000A7DE0">
        <w:t>o</w:t>
      </w:r>
      <w:r w:rsidR="000A7DE0">
        <w:t>genen Abwehransprüche. Seine Sichtweise stärkt den einzelnen Wohnungseigentümer, „zerbröselt“ aber die Dogmatik des § 10 Abs. 6 Satz 3 BEG und führt dazu, dass es immer unklarer wird, welche Rechte gemeinschaft</w:t>
      </w:r>
      <w:r w:rsidR="000A7DE0">
        <w:t>s</w:t>
      </w:r>
      <w:r w:rsidR="000A7DE0">
        <w:t>bezogen sind.</w:t>
      </w:r>
    </w:p>
    <w:p w:rsidR="000A7DE0" w:rsidRDefault="000A7DE0" w:rsidP="006D5A1E">
      <w:pPr>
        <w:pStyle w:val="KeinLeerraum"/>
      </w:pPr>
    </w:p>
    <w:p w:rsidR="000A7DE0" w:rsidRDefault="000A7DE0" w:rsidP="006D5A1E">
      <w:pPr>
        <w:pStyle w:val="KeinLeerraum"/>
      </w:pPr>
      <w:r>
        <w:t xml:space="preserve">Das </w:t>
      </w:r>
      <w:r w:rsidRPr="00493550">
        <w:rPr>
          <w:b/>
        </w:rPr>
        <w:t>Landgericht München</w:t>
      </w:r>
      <w:r>
        <w:t xml:space="preserve"> hat mit Urteil vom 15.11.2017 entschieden, dass bei einer Störung des Eigentums durch Umgestaltung (hier: eigenmächtig eingebaute Dachfläche</w:t>
      </w:r>
      <w:r>
        <w:t>n</w:t>
      </w:r>
      <w:r>
        <w:t>fenster) eine Beseitigung der Störung bzw. der Störungsquelle gem. § 1004 Abs. 1 BGB nur durch den kompletten Rückbau stattfindet. Das Landgerich</w:t>
      </w:r>
      <w:r w:rsidR="00E147D7">
        <w:t xml:space="preserve">t München I hat die Revision zum </w:t>
      </w:r>
      <w:r>
        <w:t>BGH zugelassen.</w:t>
      </w:r>
    </w:p>
    <w:p w:rsidR="000A7DE0" w:rsidRDefault="000A7DE0" w:rsidP="006D5A1E">
      <w:pPr>
        <w:pStyle w:val="KeinLeerraum"/>
      </w:pPr>
    </w:p>
    <w:p w:rsidR="000A7DE0" w:rsidRDefault="000A7DE0" w:rsidP="006D5A1E">
      <w:pPr>
        <w:pStyle w:val="KeinLeerraum"/>
      </w:pPr>
      <w:r>
        <w:t xml:space="preserve">Das </w:t>
      </w:r>
      <w:r w:rsidRPr="00493550">
        <w:rPr>
          <w:b/>
        </w:rPr>
        <w:t>Landgericht Dortmund</w:t>
      </w:r>
      <w:r>
        <w:t xml:space="preserve"> hat mit Urteil vom 11.07.2017 entschieden, dass für das Ve</w:t>
      </w:r>
      <w:r>
        <w:t>r</w:t>
      </w:r>
      <w:r>
        <w:t>hältnis der Sondereigentümer untereinander grundsätzlich auf die nachbarrechtlichen Reg</w:t>
      </w:r>
      <w:r>
        <w:t>e</w:t>
      </w:r>
      <w:r>
        <w:t>lungen zurück zu greifen und § 906 BGB en</w:t>
      </w:r>
      <w:r>
        <w:t>t</w:t>
      </w:r>
      <w:r>
        <w:t>sprechend anzuwenden ist, sodass es auch hier eine</w:t>
      </w:r>
      <w:r w:rsidR="00E147D7">
        <w:t>s</w:t>
      </w:r>
      <w:r>
        <w:t xml:space="preserve"> Schlichtungsverfahrens vor einer Klag</w:t>
      </w:r>
      <w:r>
        <w:t>e</w:t>
      </w:r>
      <w:r>
        <w:t>erhebung bedarf.</w:t>
      </w:r>
    </w:p>
    <w:p w:rsidR="00994BA8" w:rsidRDefault="00994BA8" w:rsidP="006D5A1E">
      <w:pPr>
        <w:pStyle w:val="KeinLeerraum"/>
      </w:pPr>
    </w:p>
    <w:p w:rsidR="00994BA8" w:rsidRDefault="00994BA8" w:rsidP="006D5A1E">
      <w:pPr>
        <w:pStyle w:val="KeinLeerraum"/>
      </w:pPr>
      <w:r>
        <w:t xml:space="preserve">Das </w:t>
      </w:r>
      <w:r w:rsidRPr="00493550">
        <w:rPr>
          <w:b/>
        </w:rPr>
        <w:t>Amtsgericht München</w:t>
      </w:r>
      <w:r>
        <w:t xml:space="preserve"> hat mit Urteil vom 08.11.2017 entschieden, dass die Aufste</w:t>
      </w:r>
      <w:r>
        <w:t>l</w:t>
      </w:r>
      <w:r>
        <w:t>lung eines Trampolins im Garten einer Wo</w:t>
      </w:r>
      <w:r>
        <w:t>h</w:t>
      </w:r>
      <w:r>
        <w:t>nung nicht dadurch gehindert wird, dass die Wohnungseigentümergemeinschaft vereinbart hat, dass die einzelnen, Wohnungseigentümern zugewiesenen Gartenanteile, nur als Ziergarten genutzt werden dürfen. Laut Teilungserklärung ist die Nutzung der den einzelnen Eigentümern ausschließlich zugewiesenen Gartenanteilen nur als Terrasse bzw. Ziergarten gestattet. Nach Auffassung des Amtsgerichts München ist der Begriff Ziergarten nicht dahingehend auszulegen, dass damit auch eine Beschrä</w:t>
      </w:r>
      <w:r>
        <w:t>n</w:t>
      </w:r>
      <w:r>
        <w:t>kung auf das Anpflanzen „optisch erbaulicher und schmückender Pflanzen“ verbunden ist und dass Kinder in dem Ziergarten nicht spi</w:t>
      </w:r>
      <w:r>
        <w:t>e</w:t>
      </w:r>
      <w:r>
        <w:t xml:space="preserve">len dürfen. Dürfen aber Kinder in dem Bereich spielen, so gehöre hierzu auch das Aufstellen eines Spielgerätes. Das Urteil ist noch nicht </w:t>
      </w:r>
      <w:r w:rsidR="001E1622">
        <w:t>rechtskräftig</w:t>
      </w:r>
      <w:r>
        <w:t>.</w:t>
      </w:r>
    </w:p>
    <w:p w:rsidR="001E1622" w:rsidRDefault="001E1622" w:rsidP="006D5A1E">
      <w:pPr>
        <w:pStyle w:val="KeinLeerraum"/>
      </w:pPr>
    </w:p>
    <w:p w:rsidR="001E1622" w:rsidRDefault="001E1622" w:rsidP="006D5A1E">
      <w:pPr>
        <w:pStyle w:val="KeinLeerraum"/>
      </w:pPr>
      <w:r>
        <w:lastRenderedPageBreak/>
        <w:t xml:space="preserve">Das </w:t>
      </w:r>
      <w:r w:rsidRPr="00493550">
        <w:rPr>
          <w:b/>
        </w:rPr>
        <w:t>Landgericht Frankfurt</w:t>
      </w:r>
      <w:r>
        <w:t xml:space="preserve"> am Main hat am 28.06.2017 folgendes entschieden: In die Ve</w:t>
      </w:r>
      <w:r>
        <w:t>r</w:t>
      </w:r>
      <w:r>
        <w:t>jährungsfrist des Anspruchs auf Beseitigung einer baulichen Veränderung ist die Zeit nicht einzuberechnen, während der die bauliche Veränderung durch einen später für ungültig erklärten Beschluss der Wohnungseigentümer genehmigt war. Durch eine WEG-Versamm</w:t>
      </w:r>
      <w:r w:rsidR="00493550">
        <w:t>-</w:t>
      </w:r>
      <w:r>
        <w:t>lung erfolgte die Genehmigung der baulichen Veränderung. Diese war bis zur rechtskräftigen Ungültigkeitserklärung des Genehmigungsb</w:t>
      </w:r>
      <w:r>
        <w:t>e</w:t>
      </w:r>
      <w:r>
        <w:t>schlusses mithin legitimiert. Dieser Beschluss war – auch wenn er anfechtbar war – bis zum Zeitpunkt seiner Ungültigkeitserklärung gültig und bindend. Dem zu folge bestand während dieses Zeitraums kein Unterlassungsanspruch der mit Erfolg hätte durchgesetzt werden kö</w:t>
      </w:r>
      <w:r>
        <w:t>n</w:t>
      </w:r>
      <w:r>
        <w:t xml:space="preserve">nen. Eine entsprechende Klage auf Beseitigung hätte, so lange der Beschluss nicht für ungültig erklärt wurde, abgewiesen werden müssen. </w:t>
      </w:r>
    </w:p>
    <w:p w:rsidR="00A266BF" w:rsidRDefault="00A266BF" w:rsidP="006D5A1E">
      <w:pPr>
        <w:pStyle w:val="KeinLeerraum"/>
      </w:pPr>
    </w:p>
    <w:p w:rsidR="000E41B8" w:rsidRDefault="000E41B8" w:rsidP="006D5A1E">
      <w:pPr>
        <w:pStyle w:val="KeinLeerraum"/>
      </w:pPr>
      <w:r>
        <w:t xml:space="preserve">Das </w:t>
      </w:r>
      <w:r w:rsidRPr="00493550">
        <w:rPr>
          <w:b/>
        </w:rPr>
        <w:t>Landgericht Lübeck</w:t>
      </w:r>
      <w:r>
        <w:t xml:space="preserve"> hat mit Urteil vom 17.11.2017 entschieden, dass auch der Mieter einer im Errichtungszeitpunkt DIN-gerecht errichteten Altbauwohnung erwarten darf, dass die Wohnung schimmelfrei ist. Mangels a</w:t>
      </w:r>
      <w:r>
        <w:t>b</w:t>
      </w:r>
      <w:r>
        <w:t>weichender Vereinbarungen muss der Altba</w:t>
      </w:r>
      <w:r>
        <w:t>u</w:t>
      </w:r>
      <w:r>
        <w:t>mieter über einen Mindeststandard zeitgem</w:t>
      </w:r>
      <w:r>
        <w:t>ä</w:t>
      </w:r>
      <w:r>
        <w:t>ßen Wohnens verfügen können. Das Querlü</w:t>
      </w:r>
      <w:r>
        <w:t>f</w:t>
      </w:r>
      <w:r>
        <w:t xml:space="preserve">ten von (mehrmals) 10-15 Minuten pro Tag, um Schimmelpilzbildung zu bannen, ist dem Mieter, jedenfalls im Winter, nicht zumutbar. </w:t>
      </w:r>
    </w:p>
    <w:p w:rsidR="000E41B8" w:rsidRDefault="000E41B8" w:rsidP="006D5A1E">
      <w:pPr>
        <w:pStyle w:val="KeinLeerraum"/>
      </w:pPr>
    </w:p>
    <w:p w:rsidR="000E41B8" w:rsidRDefault="000E41B8" w:rsidP="006D5A1E">
      <w:pPr>
        <w:pStyle w:val="KeinLeerraum"/>
      </w:pPr>
      <w:r>
        <w:t xml:space="preserve">Der </w:t>
      </w:r>
      <w:r w:rsidRPr="00493550">
        <w:rPr>
          <w:b/>
        </w:rPr>
        <w:t>BGH</w:t>
      </w:r>
      <w:r>
        <w:t xml:space="preserve"> hat mit Urteil vom 14.06.2017 en</w:t>
      </w:r>
      <w:r>
        <w:t>t</w:t>
      </w:r>
      <w:r>
        <w:t>schieden, dass bei einer notariell beurkundeten Unterwerfung des Mieters unter die sofortige Zwangsvollstreckung wegen der laufenden Mieten (§ 794 Abs. 1, Nr. 5 ZBO) es sich nicht um eine Sicherheit im Sinne von §§ 551 Abs. 1, Abs. 4, 232 BGB handelt. Der Umstand, dass der Wohnraummieter bereits eine Kaution von drei Monatsmieten geleistet hat, führt d</w:t>
      </w:r>
      <w:r>
        <w:t>a</w:t>
      </w:r>
      <w:r>
        <w:t>her nicht zur Unwirksamkeit der Unterwe</w:t>
      </w:r>
      <w:r>
        <w:t>r</w:t>
      </w:r>
      <w:r>
        <w:t xml:space="preserve">fungserklärung. </w:t>
      </w:r>
    </w:p>
    <w:p w:rsidR="000E41B8" w:rsidRDefault="000E41B8" w:rsidP="006D5A1E">
      <w:pPr>
        <w:pStyle w:val="KeinLeerraum"/>
      </w:pPr>
    </w:p>
    <w:p w:rsidR="000E41B8" w:rsidRDefault="000E41B8" w:rsidP="006D5A1E">
      <w:pPr>
        <w:pStyle w:val="KeinLeerraum"/>
      </w:pPr>
      <w:r>
        <w:t xml:space="preserve">Das </w:t>
      </w:r>
      <w:r w:rsidRPr="00493550">
        <w:rPr>
          <w:b/>
        </w:rPr>
        <w:t>Landgericht Amberg</w:t>
      </w:r>
      <w:r>
        <w:t xml:space="preserve"> hat mit Urteil vom 09.08.2017 entschieden, dass ein grundsätzl</w:t>
      </w:r>
      <w:r>
        <w:t>i</w:t>
      </w:r>
      <w:r>
        <w:t>ches Abmahnerfordernis bei unerlaubter U</w:t>
      </w:r>
      <w:r>
        <w:t>n</w:t>
      </w:r>
      <w:r>
        <w:t xml:space="preserve">tervermietung der Mieträume über </w:t>
      </w:r>
      <w:r w:rsidR="00493550">
        <w:t>ai</w:t>
      </w:r>
      <w:r>
        <w:t>rbnb.com an Gäste für Urlaubsaufenthalte besteht. Bei der Prüfung der Entbehrlichkeit der Abma</w:t>
      </w:r>
      <w:r>
        <w:t>h</w:t>
      </w:r>
      <w:r>
        <w:t>nung ist vo</w:t>
      </w:r>
      <w:r w:rsidR="004643D5">
        <w:t>r</w:t>
      </w:r>
      <w:r w:rsidR="00493550">
        <w:t>rangig</w:t>
      </w:r>
      <w:r>
        <w:t xml:space="preserve"> auf die vertraglichen Abr</w:t>
      </w:r>
      <w:r>
        <w:t>e</w:t>
      </w:r>
      <w:r>
        <w:t xml:space="preserve">den abzustellen. Auch im Übrigen ist keine solche schwere Pflichtverletzung gegeben, dass die Fortsetzung des Mietverhältnisses trotz Abmahnung unzumutbar wäre. </w:t>
      </w:r>
    </w:p>
    <w:p w:rsidR="000E41B8" w:rsidRDefault="000E41B8" w:rsidP="006D5A1E">
      <w:pPr>
        <w:pStyle w:val="KeinLeerraum"/>
      </w:pPr>
    </w:p>
    <w:p w:rsidR="000E41B8" w:rsidRDefault="000E41B8" w:rsidP="006D5A1E">
      <w:pPr>
        <w:pStyle w:val="KeinLeerraum"/>
      </w:pPr>
      <w:r>
        <w:t xml:space="preserve">Der </w:t>
      </w:r>
      <w:r w:rsidRPr="00493550">
        <w:rPr>
          <w:b/>
        </w:rPr>
        <w:t>BGH</w:t>
      </w:r>
      <w:r>
        <w:t xml:space="preserve"> hat mit Urteil vom 27.09.2017 en</w:t>
      </w:r>
      <w:r>
        <w:t>t</w:t>
      </w:r>
      <w:r>
        <w:t>schieden, dass sog. Schriftform-Heilungs</w:t>
      </w:r>
      <w:r w:rsidR="00493550">
        <w:t>-</w:t>
      </w:r>
      <w:r>
        <w:t>klauseln mit der nicht</w:t>
      </w:r>
      <w:r w:rsidR="00493550">
        <w:t xml:space="preserve"> </w:t>
      </w:r>
      <w:r>
        <w:t xml:space="preserve">abdingbaren Vorschrift des § 550 </w:t>
      </w:r>
      <w:r w:rsidR="00493550">
        <w:t xml:space="preserve">BGB </w:t>
      </w:r>
      <w:r>
        <w:t>unvereinbar und daher unwir</w:t>
      </w:r>
      <w:r>
        <w:t>k</w:t>
      </w:r>
      <w:r>
        <w:t>sam sind</w:t>
      </w:r>
      <w:r w:rsidR="00816624">
        <w:t>. Sie können deshalb für sich geno</w:t>
      </w:r>
      <w:r w:rsidR="00816624">
        <w:t>m</w:t>
      </w:r>
      <w:r w:rsidR="00816624">
        <w:t>men eine Vertragspartei nicht daran hindern, einen Mietvertrag unter Berufung auf einen Schriftformmangel ordentlich zu kündigen. Es verstößt aber gegen Treu und Glauben, wenn eine Mietvertragspartei eine nachträglich g</w:t>
      </w:r>
      <w:r w:rsidR="00816624">
        <w:t>e</w:t>
      </w:r>
      <w:r w:rsidR="00816624">
        <w:t>troffene Abrede, die lediglich ihr vorteilhaft ist, allein deshalb, weil sie nicht mehr die schriftliche Form wa</w:t>
      </w:r>
      <w:r w:rsidR="00770CD4">
        <w:t>hrt</w:t>
      </w:r>
      <w:r w:rsidR="00816624">
        <w:t>, zu</w:t>
      </w:r>
      <w:r w:rsidR="00770CD4">
        <w:t>m</w:t>
      </w:r>
      <w:r w:rsidR="00816624">
        <w:t xml:space="preserve"> Anlass nimmt, sich von einem</w:t>
      </w:r>
      <w:r w:rsidR="004643D5">
        <w:t>,</w:t>
      </w:r>
      <w:r w:rsidR="00816624">
        <w:t xml:space="preserve"> ihr inzwischen lästig gewo</w:t>
      </w:r>
      <w:r w:rsidR="00816624">
        <w:t>r</w:t>
      </w:r>
      <w:r w:rsidR="00816624">
        <w:t>denen langfristigen Mietvertrag zu lösen.</w:t>
      </w:r>
    </w:p>
    <w:p w:rsidR="00816624" w:rsidRDefault="00816624" w:rsidP="006D5A1E">
      <w:pPr>
        <w:pStyle w:val="KeinLeerraum"/>
      </w:pPr>
    </w:p>
    <w:p w:rsidR="00A266BF" w:rsidRPr="00A266BF" w:rsidRDefault="00A266BF" w:rsidP="006D5A1E">
      <w:pPr>
        <w:pStyle w:val="KeinLeerraum"/>
      </w:pPr>
      <w:bookmarkStart w:id="0" w:name="_GoBack"/>
      <w:bookmarkEnd w:id="0"/>
    </w:p>
    <w:p w:rsidR="003001E5" w:rsidRDefault="003001E5" w:rsidP="00232F4F">
      <w:pPr>
        <w:pStyle w:val="KeinLeerraum"/>
        <w:rPr>
          <w:rFonts w:cs="Times New Roman"/>
        </w:rPr>
      </w:pPr>
    </w:p>
    <w:p w:rsidR="003D22CC" w:rsidRDefault="002004DE" w:rsidP="00232F4F">
      <w:pPr>
        <w:pStyle w:val="KeinLeerraum"/>
        <w:rPr>
          <w:rFonts w:cs="Times New Roman"/>
        </w:rPr>
      </w:pPr>
      <w:r w:rsidRPr="00421B19">
        <w:rPr>
          <w:noProof/>
          <w:lang w:eastAsia="de-DE"/>
        </w:rPr>
        <mc:AlternateContent>
          <mc:Choice Requires="wps">
            <w:drawing>
              <wp:anchor distT="0" distB="0" distL="114300" distR="114300" simplePos="0" relativeHeight="251661312" behindDoc="0" locked="0" layoutInCell="1" allowOverlap="1" wp14:anchorId="465E932E" wp14:editId="35412986">
                <wp:simplePos x="0" y="0"/>
                <wp:positionH relativeFrom="column">
                  <wp:posOffset>50478</wp:posOffset>
                </wp:positionH>
                <wp:positionV relativeFrom="paragraph">
                  <wp:posOffset>105699</wp:posOffset>
                </wp:positionV>
                <wp:extent cx="2571008" cy="1858010"/>
                <wp:effectExtent l="0" t="0" r="20320" b="2794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008" cy="1858010"/>
                        </a:xfrm>
                        <a:prstGeom prst="rect">
                          <a:avLst/>
                        </a:prstGeom>
                        <a:solidFill>
                          <a:srgbClr val="FFFFFF"/>
                        </a:solidFill>
                        <a:ln w="9525">
                          <a:solidFill>
                            <a:srgbClr val="000000"/>
                          </a:solidFill>
                          <a:miter lim="800000"/>
                          <a:headEnd/>
                          <a:tailEnd/>
                        </a:ln>
                      </wps:spPr>
                      <wps:txbx>
                        <w:txbxContent>
                          <w:p w:rsidR="005226BB" w:rsidRDefault="005226BB" w:rsidP="005226BB">
                            <w:pPr>
                              <w:spacing w:after="0" w:line="240" w:lineRule="auto"/>
                              <w:jc w:val="center"/>
                              <w:rPr>
                                <w:rFonts w:ascii="Copperplate33BC" w:hAnsi="Copperplate33BC"/>
                              </w:rPr>
                            </w:pPr>
                            <w:r>
                              <w:rPr>
                                <w:rFonts w:ascii="Copperplate33BC" w:hAnsi="Copperplate33BC"/>
                              </w:rPr>
                              <w:t>Luithlen  &amp;  v. Stackelberg</w:t>
                            </w:r>
                          </w:p>
                          <w:p w:rsidR="005226BB" w:rsidRPr="00C56C01" w:rsidRDefault="005226BB" w:rsidP="005226BB">
                            <w:pPr>
                              <w:spacing w:after="0" w:line="240" w:lineRule="auto"/>
                              <w:jc w:val="center"/>
                              <w:rPr>
                                <w:rFonts w:ascii="Copperplate32BC" w:hAnsi="Copperplate32BC"/>
                                <w:sz w:val="20"/>
                              </w:rPr>
                            </w:pPr>
                            <w:r w:rsidRPr="00C56C01">
                              <w:rPr>
                                <w:rFonts w:ascii="Copperplate32BC" w:hAnsi="Copperplate32BC"/>
                                <w:sz w:val="20"/>
                              </w:rPr>
                              <w:t>Rechtsanwälte</w:t>
                            </w:r>
                          </w:p>
                          <w:p w:rsidR="005226BB" w:rsidRPr="00C56C01" w:rsidRDefault="005226BB" w:rsidP="005226BB">
                            <w:pPr>
                              <w:spacing w:after="0" w:line="240" w:lineRule="auto"/>
                              <w:rPr>
                                <w:rFonts w:ascii="Copperplate32BC" w:hAnsi="Copperplate32BC"/>
                                <w:sz w:val="16"/>
                              </w:rPr>
                            </w:pPr>
                          </w:p>
                          <w:p w:rsidR="005226BB" w:rsidRDefault="005226BB" w:rsidP="005226BB">
                            <w:pPr>
                              <w:spacing w:after="0" w:line="120" w:lineRule="exact"/>
                              <w:rPr>
                                <w:rFonts w:ascii="Copperplate32BC" w:hAnsi="Copperplate32BC"/>
                                <w:sz w:val="16"/>
                              </w:rPr>
                            </w:pPr>
                            <w:r w:rsidRPr="00C56C01">
                              <w:rPr>
                                <w:rFonts w:ascii="Copperplate32BC" w:hAnsi="Copperplate32BC"/>
                                <w:sz w:val="16"/>
                              </w:rPr>
                              <w:t>Dr. Jens Becker Platen</w:t>
                            </w:r>
                          </w:p>
                          <w:p w:rsidR="005226BB" w:rsidRDefault="005226BB" w:rsidP="005226BB">
                            <w:pPr>
                              <w:spacing w:after="0" w:line="120" w:lineRule="exact"/>
                              <w:rPr>
                                <w:rFonts w:cs="Times New Roman"/>
                                <w:sz w:val="12"/>
                              </w:rPr>
                            </w:pPr>
                            <w:r>
                              <w:rPr>
                                <w:rFonts w:cs="Times New Roman"/>
                                <w:sz w:val="12"/>
                              </w:rPr>
                              <w:t xml:space="preserve">        </w:t>
                            </w:r>
                            <w:r w:rsidRPr="00C56C01">
                              <w:rPr>
                                <w:rFonts w:cs="Times New Roman"/>
                                <w:sz w:val="12"/>
                              </w:rPr>
                              <w:t>Rechtsanwalt, Fachanwalt für Sozialrecht</w:t>
                            </w:r>
                          </w:p>
                          <w:p w:rsidR="005226BB" w:rsidRPr="00745155" w:rsidRDefault="005226BB" w:rsidP="005226BB">
                            <w:pPr>
                              <w:spacing w:after="0" w:line="240" w:lineRule="auto"/>
                              <w:rPr>
                                <w:rFonts w:cs="Times New Roman"/>
                                <w:sz w:val="6"/>
                              </w:rPr>
                            </w:pPr>
                          </w:p>
                          <w:p w:rsidR="005226BB" w:rsidRPr="00C56C01" w:rsidRDefault="005226BB" w:rsidP="005226BB">
                            <w:pPr>
                              <w:spacing w:after="0" w:line="120" w:lineRule="exact"/>
                              <w:rPr>
                                <w:rFonts w:ascii="Copperplate32BC" w:hAnsi="Copperplate32BC"/>
                                <w:sz w:val="16"/>
                              </w:rPr>
                            </w:pPr>
                            <w:r w:rsidRPr="00C56C01">
                              <w:rPr>
                                <w:rFonts w:ascii="Copperplate32BC" w:hAnsi="Copperplate32BC"/>
                                <w:sz w:val="16"/>
                              </w:rPr>
                              <w:t>Michaela Schmidt-Eberth</w:t>
                            </w:r>
                          </w:p>
                          <w:p w:rsidR="005226BB" w:rsidRDefault="005226BB" w:rsidP="005226BB">
                            <w:pPr>
                              <w:spacing w:after="0" w:line="120" w:lineRule="exact"/>
                              <w:rPr>
                                <w:rFonts w:cs="Times New Roman"/>
                                <w:sz w:val="12"/>
                              </w:rPr>
                            </w:pPr>
                            <w:r>
                              <w:rPr>
                                <w:rFonts w:cs="Times New Roman"/>
                                <w:sz w:val="12"/>
                              </w:rPr>
                              <w:t xml:space="preserve">        </w:t>
                            </w:r>
                            <w:r w:rsidRPr="00C56C01">
                              <w:rPr>
                                <w:rFonts w:cs="Times New Roman"/>
                                <w:sz w:val="12"/>
                              </w:rPr>
                              <w:t xml:space="preserve">Rechtsanwältin, Fachanwältin für </w:t>
                            </w:r>
                            <w:r>
                              <w:rPr>
                                <w:rFonts w:cs="Times New Roman"/>
                                <w:sz w:val="12"/>
                              </w:rPr>
                              <w:t>Familien- und Strafrecht</w:t>
                            </w:r>
                            <w:r w:rsidRPr="00C56C01">
                              <w:rPr>
                                <w:rFonts w:cs="Times New Roman"/>
                                <w:sz w:val="12"/>
                              </w:rPr>
                              <w:t>, Mediatorin</w:t>
                            </w:r>
                          </w:p>
                          <w:p w:rsidR="005226BB" w:rsidRPr="00745155" w:rsidRDefault="005226BB" w:rsidP="005226BB">
                            <w:pPr>
                              <w:spacing w:after="0" w:line="240" w:lineRule="auto"/>
                              <w:rPr>
                                <w:rFonts w:cs="Times New Roman"/>
                                <w:sz w:val="6"/>
                              </w:rPr>
                            </w:pPr>
                          </w:p>
                          <w:p w:rsidR="005226BB" w:rsidRPr="00C56C01" w:rsidRDefault="005226BB" w:rsidP="005226BB">
                            <w:pPr>
                              <w:spacing w:after="0" w:line="120" w:lineRule="exact"/>
                              <w:rPr>
                                <w:rFonts w:ascii="Copperplate32BC" w:hAnsi="Copperplate32BC"/>
                                <w:sz w:val="16"/>
                              </w:rPr>
                            </w:pPr>
                            <w:r w:rsidRPr="00C56C01">
                              <w:rPr>
                                <w:rFonts w:ascii="Copperplate32BC" w:hAnsi="Copperplate32BC"/>
                                <w:sz w:val="16"/>
                              </w:rPr>
                              <w:t>Michael Hopp</w:t>
                            </w:r>
                          </w:p>
                          <w:p w:rsidR="005226BB" w:rsidRDefault="005226BB" w:rsidP="005226BB">
                            <w:pPr>
                              <w:spacing w:after="0" w:line="120" w:lineRule="exact"/>
                              <w:rPr>
                                <w:rFonts w:cs="Times New Roman"/>
                                <w:sz w:val="12"/>
                              </w:rPr>
                            </w:pPr>
                            <w:r>
                              <w:rPr>
                                <w:rFonts w:cs="Times New Roman"/>
                                <w:sz w:val="12"/>
                              </w:rPr>
                              <w:t xml:space="preserve">        </w:t>
                            </w:r>
                            <w:r w:rsidRPr="00C56C01">
                              <w:rPr>
                                <w:rFonts w:cs="Times New Roman"/>
                                <w:sz w:val="12"/>
                              </w:rPr>
                              <w:t>Rechtsanwalt, Fachanwalt für Erbrecht</w:t>
                            </w:r>
                          </w:p>
                          <w:p w:rsidR="005226BB" w:rsidRPr="00745155" w:rsidRDefault="005226BB" w:rsidP="005226BB">
                            <w:pPr>
                              <w:spacing w:after="0" w:line="240" w:lineRule="auto"/>
                              <w:rPr>
                                <w:rFonts w:cs="Times New Roman"/>
                                <w:sz w:val="6"/>
                              </w:rPr>
                            </w:pPr>
                          </w:p>
                          <w:p w:rsidR="005226BB" w:rsidRPr="00C56C01" w:rsidRDefault="005226BB" w:rsidP="005226BB">
                            <w:pPr>
                              <w:spacing w:after="0" w:line="120" w:lineRule="exact"/>
                              <w:rPr>
                                <w:rFonts w:ascii="Copperplate32BC" w:hAnsi="Copperplate32BC"/>
                                <w:sz w:val="16"/>
                              </w:rPr>
                            </w:pPr>
                            <w:r w:rsidRPr="00C56C01">
                              <w:rPr>
                                <w:rFonts w:ascii="Copperplate32BC" w:hAnsi="Copperplate32BC"/>
                                <w:sz w:val="16"/>
                              </w:rPr>
                              <w:t>Heinrich Frhr. v. Stackelberg</w:t>
                            </w:r>
                          </w:p>
                          <w:p w:rsidR="005226BB" w:rsidRDefault="005226BB" w:rsidP="005226BB">
                            <w:pPr>
                              <w:spacing w:after="0" w:line="120" w:lineRule="exact"/>
                              <w:rPr>
                                <w:rFonts w:cs="Times New Roman"/>
                                <w:sz w:val="12"/>
                              </w:rPr>
                            </w:pPr>
                            <w:r>
                              <w:rPr>
                                <w:rFonts w:cs="Times New Roman"/>
                                <w:sz w:val="12"/>
                              </w:rPr>
                              <w:t xml:space="preserve">        Rechtsanwalt,</w:t>
                            </w:r>
                          </w:p>
                          <w:p w:rsidR="005226BB" w:rsidRPr="00745155" w:rsidRDefault="005226BB" w:rsidP="005226BB">
                            <w:pPr>
                              <w:spacing w:after="0" w:line="120" w:lineRule="exact"/>
                              <w:rPr>
                                <w:rFonts w:cs="Times New Roman"/>
                                <w:sz w:val="6"/>
                              </w:rPr>
                            </w:pPr>
                          </w:p>
                          <w:p w:rsidR="005226BB" w:rsidRDefault="005226BB" w:rsidP="005226BB">
                            <w:pPr>
                              <w:spacing w:after="0" w:line="120" w:lineRule="exact"/>
                              <w:rPr>
                                <w:rFonts w:ascii="Copperplate32BC" w:hAnsi="Copperplate32BC"/>
                              </w:rPr>
                            </w:pPr>
                            <w:r w:rsidRPr="00C56C01">
                              <w:rPr>
                                <w:rFonts w:ascii="Copperplate32BC" w:hAnsi="Copperplate32BC"/>
                                <w:sz w:val="16"/>
                              </w:rPr>
                              <w:t>Thomas Luithlen</w:t>
                            </w:r>
                          </w:p>
                          <w:p w:rsidR="005226BB" w:rsidRDefault="005226BB" w:rsidP="005226BB">
                            <w:pPr>
                              <w:spacing w:after="0" w:line="120" w:lineRule="exact"/>
                              <w:rPr>
                                <w:rFonts w:cs="Times New Roman"/>
                                <w:sz w:val="12"/>
                              </w:rPr>
                            </w:pPr>
                            <w:r>
                              <w:rPr>
                                <w:rFonts w:cs="Times New Roman"/>
                                <w:sz w:val="12"/>
                              </w:rPr>
                              <w:t xml:space="preserve">        </w:t>
                            </w:r>
                            <w:r w:rsidRPr="00C56C01">
                              <w:rPr>
                                <w:rFonts w:cs="Times New Roman"/>
                                <w:sz w:val="12"/>
                              </w:rPr>
                              <w:t>Rechtsanwalt</w:t>
                            </w:r>
                          </w:p>
                          <w:p w:rsidR="005226BB" w:rsidRPr="00745155" w:rsidRDefault="005226BB" w:rsidP="005226BB">
                            <w:pPr>
                              <w:spacing w:after="0" w:line="240" w:lineRule="auto"/>
                              <w:rPr>
                                <w:rFonts w:ascii="Copperplate32BC" w:hAnsi="Copperplate32BC"/>
                                <w:sz w:val="14"/>
                              </w:rPr>
                            </w:pPr>
                          </w:p>
                          <w:p w:rsidR="005226BB" w:rsidRPr="00C56C01" w:rsidRDefault="005226BB" w:rsidP="005226BB">
                            <w:pPr>
                              <w:spacing w:after="0" w:line="240" w:lineRule="auto"/>
                              <w:jc w:val="center"/>
                              <w:rPr>
                                <w:rFonts w:ascii="Copperplate32BC" w:hAnsi="Copperplate32BC"/>
                                <w:sz w:val="16"/>
                              </w:rPr>
                            </w:pPr>
                            <w:r w:rsidRPr="00C56C01">
                              <w:rPr>
                                <w:rFonts w:ascii="Copperplate32BC" w:hAnsi="Copperplate32BC"/>
                                <w:sz w:val="16"/>
                              </w:rPr>
                              <w:t>Karl-Lederer-Platz 13</w:t>
                            </w:r>
                            <w:r>
                              <w:rPr>
                                <w:rFonts w:ascii="Copperplate32BC" w:hAnsi="Copperplate32BC"/>
                                <w:sz w:val="16"/>
                              </w:rPr>
                              <w:t xml:space="preserve">,   </w:t>
                            </w:r>
                            <w:r w:rsidRPr="00C56C01">
                              <w:rPr>
                                <w:rFonts w:ascii="Copperplate32BC" w:hAnsi="Copperplate32BC"/>
                                <w:sz w:val="16"/>
                              </w:rPr>
                              <w:t>82538 Geretsried</w:t>
                            </w:r>
                          </w:p>
                          <w:p w:rsidR="005226BB" w:rsidRPr="00C56C01" w:rsidRDefault="005226BB" w:rsidP="005226BB">
                            <w:pPr>
                              <w:spacing w:after="0" w:line="240" w:lineRule="auto"/>
                              <w:jc w:val="center"/>
                              <w:rPr>
                                <w:rFonts w:ascii="Copperplate32BC" w:hAnsi="Copperplate32BC"/>
                                <w:sz w:val="16"/>
                              </w:rPr>
                            </w:pPr>
                            <w:r w:rsidRPr="00C56C01">
                              <w:rPr>
                                <w:rFonts w:ascii="Copperplate32BC" w:hAnsi="Copperplate32BC"/>
                                <w:sz w:val="16"/>
                              </w:rPr>
                              <w:t>Tel.: 08171 – 93 99 3</w:t>
                            </w:r>
                            <w:r>
                              <w:rPr>
                                <w:rFonts w:ascii="Copperplate32BC" w:hAnsi="Copperplate32BC"/>
                                <w:sz w:val="16"/>
                              </w:rPr>
                              <w:t xml:space="preserve">   </w:t>
                            </w:r>
                            <w:r w:rsidRPr="00C56C01">
                              <w:rPr>
                                <w:rFonts w:ascii="Copperplate32BC" w:hAnsi="Copperplate32BC"/>
                                <w:sz w:val="16"/>
                              </w:rPr>
                              <w:t>Fax: 08171 – 93 99 50</w:t>
                            </w:r>
                          </w:p>
                          <w:p w:rsidR="005226BB" w:rsidRPr="00C56C01" w:rsidRDefault="005226BB" w:rsidP="005226BB">
                            <w:pPr>
                              <w:spacing w:after="0" w:line="240" w:lineRule="auto"/>
                              <w:jc w:val="center"/>
                              <w:rPr>
                                <w:rFonts w:ascii="Copperplate32BC" w:hAnsi="Copperplate32BC"/>
                                <w:sz w:val="16"/>
                              </w:rPr>
                            </w:pPr>
                            <w:r w:rsidRPr="00C56C01">
                              <w:rPr>
                                <w:rFonts w:ascii="Copperplate32BC" w:hAnsi="Copperplate32BC"/>
                                <w:sz w:val="16"/>
                              </w:rPr>
                              <w:t>www.luithlen-stackelberg.de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95pt;margin-top:8.3pt;width:202.45pt;height:14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LiaJgIAAEwEAAAOAAAAZHJzL2Uyb0RvYy54bWysVFFv0zAQfkfiP1h+p0mqlnVR02l0FCGN&#10;gbTxAxzbaSxsX7DdJuPXc3ayEgFPiDxYPt/583ff3WV7MxhNztJ5BbaixSKnRFoOQtljRb8+Hd5s&#10;KPGBWcE0WFnRZ+npze71q23flXIJLWghHUEQ68u+q2gbQldmmeetNMwvoJMWnQ04wwKa7pgJx3pE&#10;Nzpb5vnbrAcnOgdceo+nd6OT7hJ+00gePjeNl4HoiiK3kFaX1jqu2W7LyqNjXav4RIP9AwvDlMVH&#10;L1B3LDBycuoPKKO4Aw9NWHAwGTSN4jLlgNkU+W/ZPLaskykXFMd3F5n8/4PlD+cvjiiBtaPEMoMl&#10;epJDaKQWZBnV6TtfYtBjh2FheAdDjIyZ+u4e+DdPLOxbZo/y1jnoW8kEsivizWx2dcTxEaTuP4HA&#10;Z9gpQAIaGmciIIpBEB2r9HypDFIhHA+X66siz7GXOPqKzXqDYqU3WPlyvXM+fJBgSNxU1GHpEzw7&#10;3/sQ6bDyJSTRB63EQWmdDHes99qRM8M2OaRvQvfzMG1JX9Hr9XI9KjD3+TlEnr6/QRgVsN+1MhXd&#10;XIJYGXV7b0XqxsCUHvdIWdtJyKjdqGIY6mGq2FSfGsQzKutgbG8cR9y04H5Q0mNrV9R/PzEnKdEf&#10;LVbnulit4iwkY7W+WqLh5p567mGWI1RFAyXjdh/S/ETdLNxiFRuV9I3lHplMlLFlk+zTeMWZmNsp&#10;6tdPYPcTAAD//wMAUEsDBBQABgAIAAAAIQADBhRV3wAAAAgBAAAPAAAAZHJzL2Rvd25yZXYueG1s&#10;TI/BTsMwEETvSPyDtUhcEHWaVmkT4lQICQQ3KKi9uvE2iYjXwXbT8PcsJzjuzGj2TbmZbC9G9KFz&#10;pGA+S0Ag1c501Cj4eH+8XYMIUZPRvSNU8I0BNtXlRakL4870huM2NoJLKBRaQRvjUEgZ6hatDjM3&#10;ILF3dN7qyKdvpPH6zOW2l2mSZNLqjvhDqwd8aLH+3J6sgvXyedyHl8Xrrs6OfR5vVuPTl1fq+mq6&#10;vwMRcYp/YfjFZ3SomOngTmSC6BWscg6ynGUg2F7OU15yULBI8hRkVcr/A6ofAAAA//8DAFBLAQIt&#10;ABQABgAIAAAAIQC2gziS/gAAAOEBAAATAAAAAAAAAAAAAAAAAAAAAABbQ29udGVudF9UeXBlc10u&#10;eG1sUEsBAi0AFAAGAAgAAAAhADj9If/WAAAAlAEAAAsAAAAAAAAAAAAAAAAALwEAAF9yZWxzLy5y&#10;ZWxzUEsBAi0AFAAGAAgAAAAhAPo4uJomAgAATAQAAA4AAAAAAAAAAAAAAAAALgIAAGRycy9lMm9E&#10;b2MueG1sUEsBAi0AFAAGAAgAAAAhAAMGFFXfAAAACAEAAA8AAAAAAAAAAAAAAAAAgAQAAGRycy9k&#10;b3ducmV2LnhtbFBLBQYAAAAABAAEAPMAAACMBQAAAAA=&#10;">
                <v:textbox>
                  <w:txbxContent>
                    <w:p w:rsidR="005226BB" w:rsidRDefault="005226BB" w:rsidP="005226BB">
                      <w:pPr>
                        <w:spacing w:after="0" w:line="240" w:lineRule="auto"/>
                        <w:jc w:val="center"/>
                        <w:rPr>
                          <w:rFonts w:ascii="Copperplate33BC" w:hAnsi="Copperplate33BC"/>
                        </w:rPr>
                      </w:pPr>
                      <w:r>
                        <w:rPr>
                          <w:rFonts w:ascii="Copperplate33BC" w:hAnsi="Copperplate33BC"/>
                        </w:rPr>
                        <w:t>Luithlen  &amp;  v. Stackelberg</w:t>
                      </w:r>
                    </w:p>
                    <w:p w:rsidR="005226BB" w:rsidRPr="00C56C01" w:rsidRDefault="005226BB" w:rsidP="005226BB">
                      <w:pPr>
                        <w:spacing w:after="0" w:line="240" w:lineRule="auto"/>
                        <w:jc w:val="center"/>
                        <w:rPr>
                          <w:rFonts w:ascii="Copperplate32BC" w:hAnsi="Copperplate32BC"/>
                          <w:sz w:val="20"/>
                        </w:rPr>
                      </w:pPr>
                      <w:r w:rsidRPr="00C56C01">
                        <w:rPr>
                          <w:rFonts w:ascii="Copperplate32BC" w:hAnsi="Copperplate32BC"/>
                          <w:sz w:val="20"/>
                        </w:rPr>
                        <w:t>Rechtsanwälte</w:t>
                      </w:r>
                    </w:p>
                    <w:p w:rsidR="005226BB" w:rsidRPr="00C56C01" w:rsidRDefault="005226BB" w:rsidP="005226BB">
                      <w:pPr>
                        <w:spacing w:after="0" w:line="240" w:lineRule="auto"/>
                        <w:rPr>
                          <w:rFonts w:ascii="Copperplate32BC" w:hAnsi="Copperplate32BC"/>
                          <w:sz w:val="16"/>
                        </w:rPr>
                      </w:pPr>
                    </w:p>
                    <w:p w:rsidR="005226BB" w:rsidRDefault="005226BB" w:rsidP="005226BB">
                      <w:pPr>
                        <w:spacing w:after="0" w:line="120" w:lineRule="exact"/>
                        <w:rPr>
                          <w:rFonts w:ascii="Copperplate32BC" w:hAnsi="Copperplate32BC"/>
                          <w:sz w:val="16"/>
                        </w:rPr>
                      </w:pPr>
                      <w:r w:rsidRPr="00C56C01">
                        <w:rPr>
                          <w:rFonts w:ascii="Copperplate32BC" w:hAnsi="Copperplate32BC"/>
                          <w:sz w:val="16"/>
                        </w:rPr>
                        <w:t>Dr. Jens Becker Platen</w:t>
                      </w:r>
                    </w:p>
                    <w:p w:rsidR="005226BB" w:rsidRDefault="005226BB" w:rsidP="005226BB">
                      <w:pPr>
                        <w:spacing w:after="0" w:line="120" w:lineRule="exact"/>
                        <w:rPr>
                          <w:rFonts w:cs="Times New Roman"/>
                          <w:sz w:val="12"/>
                        </w:rPr>
                      </w:pPr>
                      <w:r>
                        <w:rPr>
                          <w:rFonts w:cs="Times New Roman"/>
                          <w:sz w:val="12"/>
                        </w:rPr>
                        <w:t xml:space="preserve">        </w:t>
                      </w:r>
                      <w:r w:rsidRPr="00C56C01">
                        <w:rPr>
                          <w:rFonts w:cs="Times New Roman"/>
                          <w:sz w:val="12"/>
                        </w:rPr>
                        <w:t>Rechtsanwalt, Fachanwalt für Sozialrecht</w:t>
                      </w:r>
                    </w:p>
                    <w:p w:rsidR="005226BB" w:rsidRPr="00745155" w:rsidRDefault="005226BB" w:rsidP="005226BB">
                      <w:pPr>
                        <w:spacing w:after="0" w:line="240" w:lineRule="auto"/>
                        <w:rPr>
                          <w:rFonts w:cs="Times New Roman"/>
                          <w:sz w:val="6"/>
                        </w:rPr>
                      </w:pPr>
                    </w:p>
                    <w:p w:rsidR="005226BB" w:rsidRPr="00C56C01" w:rsidRDefault="005226BB" w:rsidP="005226BB">
                      <w:pPr>
                        <w:spacing w:after="0" w:line="120" w:lineRule="exact"/>
                        <w:rPr>
                          <w:rFonts w:ascii="Copperplate32BC" w:hAnsi="Copperplate32BC"/>
                          <w:sz w:val="16"/>
                        </w:rPr>
                      </w:pPr>
                      <w:r w:rsidRPr="00C56C01">
                        <w:rPr>
                          <w:rFonts w:ascii="Copperplate32BC" w:hAnsi="Copperplate32BC"/>
                          <w:sz w:val="16"/>
                        </w:rPr>
                        <w:t>Michaela Schmidt-Eberth</w:t>
                      </w:r>
                    </w:p>
                    <w:p w:rsidR="005226BB" w:rsidRDefault="005226BB" w:rsidP="005226BB">
                      <w:pPr>
                        <w:spacing w:after="0" w:line="120" w:lineRule="exact"/>
                        <w:rPr>
                          <w:rFonts w:cs="Times New Roman"/>
                          <w:sz w:val="12"/>
                        </w:rPr>
                      </w:pPr>
                      <w:r>
                        <w:rPr>
                          <w:rFonts w:cs="Times New Roman"/>
                          <w:sz w:val="12"/>
                        </w:rPr>
                        <w:t xml:space="preserve">        </w:t>
                      </w:r>
                      <w:r w:rsidRPr="00C56C01">
                        <w:rPr>
                          <w:rFonts w:cs="Times New Roman"/>
                          <w:sz w:val="12"/>
                        </w:rPr>
                        <w:t xml:space="preserve">Rechtsanwältin, Fachanwältin für </w:t>
                      </w:r>
                      <w:r>
                        <w:rPr>
                          <w:rFonts w:cs="Times New Roman"/>
                          <w:sz w:val="12"/>
                        </w:rPr>
                        <w:t>Familien- und Strafrecht</w:t>
                      </w:r>
                      <w:r w:rsidRPr="00C56C01">
                        <w:rPr>
                          <w:rFonts w:cs="Times New Roman"/>
                          <w:sz w:val="12"/>
                        </w:rPr>
                        <w:t>, Mediatorin</w:t>
                      </w:r>
                    </w:p>
                    <w:p w:rsidR="005226BB" w:rsidRPr="00745155" w:rsidRDefault="005226BB" w:rsidP="005226BB">
                      <w:pPr>
                        <w:spacing w:after="0" w:line="240" w:lineRule="auto"/>
                        <w:rPr>
                          <w:rFonts w:cs="Times New Roman"/>
                          <w:sz w:val="6"/>
                        </w:rPr>
                      </w:pPr>
                    </w:p>
                    <w:p w:rsidR="005226BB" w:rsidRPr="00C56C01" w:rsidRDefault="005226BB" w:rsidP="005226BB">
                      <w:pPr>
                        <w:spacing w:after="0" w:line="120" w:lineRule="exact"/>
                        <w:rPr>
                          <w:rFonts w:ascii="Copperplate32BC" w:hAnsi="Copperplate32BC"/>
                          <w:sz w:val="16"/>
                        </w:rPr>
                      </w:pPr>
                      <w:r w:rsidRPr="00C56C01">
                        <w:rPr>
                          <w:rFonts w:ascii="Copperplate32BC" w:hAnsi="Copperplate32BC"/>
                          <w:sz w:val="16"/>
                        </w:rPr>
                        <w:t>Michael Hopp</w:t>
                      </w:r>
                    </w:p>
                    <w:p w:rsidR="005226BB" w:rsidRDefault="005226BB" w:rsidP="005226BB">
                      <w:pPr>
                        <w:spacing w:after="0" w:line="120" w:lineRule="exact"/>
                        <w:rPr>
                          <w:rFonts w:cs="Times New Roman"/>
                          <w:sz w:val="12"/>
                        </w:rPr>
                      </w:pPr>
                      <w:r>
                        <w:rPr>
                          <w:rFonts w:cs="Times New Roman"/>
                          <w:sz w:val="12"/>
                        </w:rPr>
                        <w:t xml:space="preserve">        </w:t>
                      </w:r>
                      <w:r w:rsidRPr="00C56C01">
                        <w:rPr>
                          <w:rFonts w:cs="Times New Roman"/>
                          <w:sz w:val="12"/>
                        </w:rPr>
                        <w:t>Rechtsanwalt, Fachanwalt für Erbrecht</w:t>
                      </w:r>
                    </w:p>
                    <w:p w:rsidR="005226BB" w:rsidRPr="00745155" w:rsidRDefault="005226BB" w:rsidP="005226BB">
                      <w:pPr>
                        <w:spacing w:after="0" w:line="240" w:lineRule="auto"/>
                        <w:rPr>
                          <w:rFonts w:cs="Times New Roman"/>
                          <w:sz w:val="6"/>
                        </w:rPr>
                      </w:pPr>
                    </w:p>
                    <w:p w:rsidR="005226BB" w:rsidRPr="00C56C01" w:rsidRDefault="005226BB" w:rsidP="005226BB">
                      <w:pPr>
                        <w:spacing w:after="0" w:line="120" w:lineRule="exact"/>
                        <w:rPr>
                          <w:rFonts w:ascii="Copperplate32BC" w:hAnsi="Copperplate32BC"/>
                          <w:sz w:val="16"/>
                        </w:rPr>
                      </w:pPr>
                      <w:r w:rsidRPr="00C56C01">
                        <w:rPr>
                          <w:rFonts w:ascii="Copperplate32BC" w:hAnsi="Copperplate32BC"/>
                          <w:sz w:val="16"/>
                        </w:rPr>
                        <w:t>Heinrich Frhr. v. Stackelberg</w:t>
                      </w:r>
                    </w:p>
                    <w:p w:rsidR="005226BB" w:rsidRDefault="005226BB" w:rsidP="005226BB">
                      <w:pPr>
                        <w:spacing w:after="0" w:line="120" w:lineRule="exact"/>
                        <w:rPr>
                          <w:rFonts w:cs="Times New Roman"/>
                          <w:sz w:val="12"/>
                        </w:rPr>
                      </w:pPr>
                      <w:r>
                        <w:rPr>
                          <w:rFonts w:cs="Times New Roman"/>
                          <w:sz w:val="12"/>
                        </w:rPr>
                        <w:t xml:space="preserve">        Rechtsanwalt,</w:t>
                      </w:r>
                    </w:p>
                    <w:p w:rsidR="005226BB" w:rsidRPr="00745155" w:rsidRDefault="005226BB" w:rsidP="005226BB">
                      <w:pPr>
                        <w:spacing w:after="0" w:line="120" w:lineRule="exact"/>
                        <w:rPr>
                          <w:rFonts w:cs="Times New Roman"/>
                          <w:sz w:val="6"/>
                        </w:rPr>
                      </w:pPr>
                    </w:p>
                    <w:p w:rsidR="005226BB" w:rsidRDefault="005226BB" w:rsidP="005226BB">
                      <w:pPr>
                        <w:spacing w:after="0" w:line="120" w:lineRule="exact"/>
                        <w:rPr>
                          <w:rFonts w:ascii="Copperplate32BC" w:hAnsi="Copperplate32BC"/>
                        </w:rPr>
                      </w:pPr>
                      <w:r w:rsidRPr="00C56C01">
                        <w:rPr>
                          <w:rFonts w:ascii="Copperplate32BC" w:hAnsi="Copperplate32BC"/>
                          <w:sz w:val="16"/>
                        </w:rPr>
                        <w:t>Thomas Luithlen</w:t>
                      </w:r>
                    </w:p>
                    <w:p w:rsidR="005226BB" w:rsidRDefault="005226BB" w:rsidP="005226BB">
                      <w:pPr>
                        <w:spacing w:after="0" w:line="120" w:lineRule="exact"/>
                        <w:rPr>
                          <w:rFonts w:cs="Times New Roman"/>
                          <w:sz w:val="12"/>
                        </w:rPr>
                      </w:pPr>
                      <w:r>
                        <w:rPr>
                          <w:rFonts w:cs="Times New Roman"/>
                          <w:sz w:val="12"/>
                        </w:rPr>
                        <w:t xml:space="preserve">        </w:t>
                      </w:r>
                      <w:r w:rsidRPr="00C56C01">
                        <w:rPr>
                          <w:rFonts w:cs="Times New Roman"/>
                          <w:sz w:val="12"/>
                        </w:rPr>
                        <w:t>Rechtsanwalt</w:t>
                      </w:r>
                    </w:p>
                    <w:p w:rsidR="005226BB" w:rsidRPr="00745155" w:rsidRDefault="005226BB" w:rsidP="005226BB">
                      <w:pPr>
                        <w:spacing w:after="0" w:line="240" w:lineRule="auto"/>
                        <w:rPr>
                          <w:rFonts w:ascii="Copperplate32BC" w:hAnsi="Copperplate32BC"/>
                          <w:sz w:val="14"/>
                        </w:rPr>
                      </w:pPr>
                    </w:p>
                    <w:p w:rsidR="005226BB" w:rsidRPr="00C56C01" w:rsidRDefault="005226BB" w:rsidP="005226BB">
                      <w:pPr>
                        <w:spacing w:after="0" w:line="240" w:lineRule="auto"/>
                        <w:jc w:val="center"/>
                        <w:rPr>
                          <w:rFonts w:ascii="Copperplate32BC" w:hAnsi="Copperplate32BC"/>
                          <w:sz w:val="16"/>
                        </w:rPr>
                      </w:pPr>
                      <w:r w:rsidRPr="00C56C01">
                        <w:rPr>
                          <w:rFonts w:ascii="Copperplate32BC" w:hAnsi="Copperplate32BC"/>
                          <w:sz w:val="16"/>
                        </w:rPr>
                        <w:t>Karl-Lederer-Platz 13</w:t>
                      </w:r>
                      <w:r>
                        <w:rPr>
                          <w:rFonts w:ascii="Copperplate32BC" w:hAnsi="Copperplate32BC"/>
                          <w:sz w:val="16"/>
                        </w:rPr>
                        <w:t xml:space="preserve">,   </w:t>
                      </w:r>
                      <w:r w:rsidRPr="00C56C01">
                        <w:rPr>
                          <w:rFonts w:ascii="Copperplate32BC" w:hAnsi="Copperplate32BC"/>
                          <w:sz w:val="16"/>
                        </w:rPr>
                        <w:t>82538 Geretsried</w:t>
                      </w:r>
                    </w:p>
                    <w:p w:rsidR="005226BB" w:rsidRPr="00C56C01" w:rsidRDefault="005226BB" w:rsidP="005226BB">
                      <w:pPr>
                        <w:spacing w:after="0" w:line="240" w:lineRule="auto"/>
                        <w:jc w:val="center"/>
                        <w:rPr>
                          <w:rFonts w:ascii="Copperplate32BC" w:hAnsi="Copperplate32BC"/>
                          <w:sz w:val="16"/>
                        </w:rPr>
                      </w:pPr>
                      <w:r w:rsidRPr="00C56C01">
                        <w:rPr>
                          <w:rFonts w:ascii="Copperplate32BC" w:hAnsi="Copperplate32BC"/>
                          <w:sz w:val="16"/>
                        </w:rPr>
                        <w:t>Tel.: 08171 – 93 99 3</w:t>
                      </w:r>
                      <w:r>
                        <w:rPr>
                          <w:rFonts w:ascii="Copperplate32BC" w:hAnsi="Copperplate32BC"/>
                          <w:sz w:val="16"/>
                        </w:rPr>
                        <w:t xml:space="preserve">   </w:t>
                      </w:r>
                      <w:r w:rsidRPr="00C56C01">
                        <w:rPr>
                          <w:rFonts w:ascii="Copperplate32BC" w:hAnsi="Copperplate32BC"/>
                          <w:sz w:val="16"/>
                        </w:rPr>
                        <w:t>Fax: 08171 – 93 99 50</w:t>
                      </w:r>
                    </w:p>
                    <w:p w:rsidR="005226BB" w:rsidRPr="00C56C01" w:rsidRDefault="005226BB" w:rsidP="005226BB">
                      <w:pPr>
                        <w:spacing w:after="0" w:line="240" w:lineRule="auto"/>
                        <w:jc w:val="center"/>
                        <w:rPr>
                          <w:rFonts w:ascii="Copperplate32BC" w:hAnsi="Copperplate32BC"/>
                          <w:sz w:val="16"/>
                        </w:rPr>
                      </w:pPr>
                      <w:r w:rsidRPr="00C56C01">
                        <w:rPr>
                          <w:rFonts w:ascii="Copperplate32BC" w:hAnsi="Copperplate32BC"/>
                          <w:sz w:val="16"/>
                        </w:rPr>
                        <w:t>www.luithlen-stackelberg.de</w:t>
                      </w:r>
                    </w:p>
                  </w:txbxContent>
                </v:textbox>
              </v:shape>
            </w:pict>
          </mc:Fallback>
        </mc:AlternateContent>
      </w:r>
    </w:p>
    <w:p w:rsidR="003B5986" w:rsidRDefault="003B5986" w:rsidP="00232F4F">
      <w:pPr>
        <w:pStyle w:val="KeinLeerraum"/>
        <w:rPr>
          <w:rFonts w:cs="Times New Roman"/>
        </w:rPr>
      </w:pPr>
    </w:p>
    <w:p w:rsidR="003B5986" w:rsidRDefault="003B5986" w:rsidP="00232F4F">
      <w:pPr>
        <w:pStyle w:val="KeinLeerraum"/>
        <w:rPr>
          <w:rFonts w:cs="Times New Roman"/>
        </w:rPr>
      </w:pPr>
    </w:p>
    <w:p w:rsidR="003B5986" w:rsidRDefault="003B5986" w:rsidP="00232F4F">
      <w:pPr>
        <w:pStyle w:val="KeinLeerraum"/>
        <w:rPr>
          <w:rFonts w:cs="Times New Roman"/>
        </w:rPr>
      </w:pPr>
    </w:p>
    <w:p w:rsidR="003B252E" w:rsidRDefault="003B252E" w:rsidP="006D5A1E">
      <w:pPr>
        <w:spacing w:after="0" w:line="240" w:lineRule="auto"/>
        <w:rPr>
          <w:rFonts w:cs="Times New Roman"/>
        </w:rPr>
      </w:pPr>
    </w:p>
    <w:p w:rsidR="005226BB" w:rsidRDefault="005226BB" w:rsidP="006D5A1E">
      <w:pPr>
        <w:spacing w:after="0" w:line="240" w:lineRule="auto"/>
        <w:rPr>
          <w:rFonts w:cs="Times New Roman"/>
        </w:rPr>
      </w:pPr>
    </w:p>
    <w:p w:rsidR="005226BB" w:rsidRDefault="005226BB" w:rsidP="005226BB">
      <w:pPr>
        <w:spacing w:after="0" w:line="240" w:lineRule="auto"/>
        <w:rPr>
          <w:rFonts w:cs="Times New Roman"/>
        </w:rPr>
      </w:pPr>
    </w:p>
    <w:p w:rsidR="005226BB" w:rsidRDefault="005226BB" w:rsidP="006D5A1E">
      <w:pPr>
        <w:spacing w:after="0" w:line="240" w:lineRule="auto"/>
        <w:rPr>
          <w:rFonts w:cs="Times New Roman"/>
        </w:rPr>
      </w:pPr>
    </w:p>
    <w:p w:rsidR="001B6576" w:rsidRDefault="001B6576" w:rsidP="006D5A1E">
      <w:pPr>
        <w:spacing w:after="0" w:line="240" w:lineRule="auto"/>
        <w:rPr>
          <w:rFonts w:cs="Times New Roman"/>
        </w:rPr>
      </w:pPr>
    </w:p>
    <w:p w:rsidR="001B6576" w:rsidRDefault="001B6576" w:rsidP="006D5A1E">
      <w:pPr>
        <w:spacing w:after="0" w:line="240" w:lineRule="auto"/>
        <w:rPr>
          <w:rFonts w:cs="Times New Roman"/>
        </w:rPr>
      </w:pPr>
    </w:p>
    <w:p w:rsidR="001B6576" w:rsidRDefault="001B6576" w:rsidP="006D5A1E">
      <w:pPr>
        <w:spacing w:after="0" w:line="240" w:lineRule="auto"/>
        <w:rPr>
          <w:rFonts w:cs="Times New Roman"/>
        </w:rPr>
      </w:pPr>
    </w:p>
    <w:p w:rsidR="001B6576" w:rsidRDefault="001B6576" w:rsidP="006D5A1E">
      <w:pPr>
        <w:spacing w:after="0" w:line="240" w:lineRule="auto"/>
        <w:rPr>
          <w:rFonts w:cs="Times New Roman"/>
        </w:rPr>
      </w:pPr>
    </w:p>
    <w:p w:rsidR="006D5A1E" w:rsidRPr="00421B19" w:rsidRDefault="006D5A1E" w:rsidP="006D5A1E">
      <w:pPr>
        <w:spacing w:after="0" w:line="240" w:lineRule="auto"/>
        <w:rPr>
          <w:rFonts w:cs="Times New Roman"/>
        </w:rPr>
      </w:pPr>
    </w:p>
    <w:p w:rsidR="006D5A1E" w:rsidRPr="00421B19" w:rsidRDefault="006D5A1E" w:rsidP="006D5A1E">
      <w:pPr>
        <w:spacing w:after="0" w:line="240" w:lineRule="auto"/>
        <w:rPr>
          <w:rFonts w:cs="Times New Roman"/>
        </w:rPr>
      </w:pPr>
    </w:p>
    <w:p w:rsidR="006D5A1E" w:rsidRPr="00421B19" w:rsidRDefault="006D5A1E" w:rsidP="006D5A1E">
      <w:pPr>
        <w:spacing w:after="0" w:line="240" w:lineRule="auto"/>
        <w:rPr>
          <w:rFonts w:cs="Times New Roman"/>
        </w:rPr>
      </w:pPr>
    </w:p>
    <w:p w:rsidR="006D5A1E" w:rsidRPr="00421B19" w:rsidRDefault="006D5A1E" w:rsidP="006D5A1E">
      <w:pPr>
        <w:pStyle w:val="KeinLeerraum"/>
        <w:jc w:val="both"/>
      </w:pPr>
    </w:p>
    <w:p w:rsidR="0035647B" w:rsidRPr="00421B19" w:rsidRDefault="0035647B"/>
    <w:sectPr w:rsidR="0035647B" w:rsidRPr="00421B19" w:rsidSect="00F11584">
      <w:pgSz w:w="11906" w:h="16838"/>
      <w:pgMar w:top="1417" w:right="1417" w:bottom="1134" w:left="1417"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pperplate33BC">
    <w:panose1 w:val="00000500000000000000"/>
    <w:charset w:val="00"/>
    <w:family w:val="roman"/>
    <w:notTrueType/>
    <w:pitch w:val="variable"/>
    <w:sig w:usb0="00000003" w:usb1="00000000" w:usb2="00000000" w:usb3="00000000" w:csb0="00000001" w:csb1="00000000"/>
  </w:font>
  <w:font w:name="Copperplate32BC">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E7C51"/>
    <w:multiLevelType w:val="hybridMultilevel"/>
    <w:tmpl w:val="838891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1E"/>
    <w:rsid w:val="0000539D"/>
    <w:rsid w:val="00030C57"/>
    <w:rsid w:val="00037A29"/>
    <w:rsid w:val="0005639D"/>
    <w:rsid w:val="0005726D"/>
    <w:rsid w:val="000669C3"/>
    <w:rsid w:val="000874D5"/>
    <w:rsid w:val="000A7DE0"/>
    <w:rsid w:val="000C477F"/>
    <w:rsid w:val="000C6C0A"/>
    <w:rsid w:val="000E41B8"/>
    <w:rsid w:val="000F1727"/>
    <w:rsid w:val="00101E98"/>
    <w:rsid w:val="00111066"/>
    <w:rsid w:val="0011246D"/>
    <w:rsid w:val="00124835"/>
    <w:rsid w:val="00134C7F"/>
    <w:rsid w:val="001375AE"/>
    <w:rsid w:val="001745A0"/>
    <w:rsid w:val="00175CBB"/>
    <w:rsid w:val="001A57EF"/>
    <w:rsid w:val="001B2F23"/>
    <w:rsid w:val="001B6576"/>
    <w:rsid w:val="001C1780"/>
    <w:rsid w:val="001E1622"/>
    <w:rsid w:val="001E5925"/>
    <w:rsid w:val="002004DE"/>
    <w:rsid w:val="00201A3E"/>
    <w:rsid w:val="002134DA"/>
    <w:rsid w:val="0022361D"/>
    <w:rsid w:val="00230551"/>
    <w:rsid w:val="00232F4F"/>
    <w:rsid w:val="002370DE"/>
    <w:rsid w:val="00265A05"/>
    <w:rsid w:val="00271141"/>
    <w:rsid w:val="002A7469"/>
    <w:rsid w:val="002A7A9D"/>
    <w:rsid w:val="002B4C94"/>
    <w:rsid w:val="002E0B91"/>
    <w:rsid w:val="003001E5"/>
    <w:rsid w:val="00301F0E"/>
    <w:rsid w:val="0030310E"/>
    <w:rsid w:val="00310591"/>
    <w:rsid w:val="00311678"/>
    <w:rsid w:val="003137BB"/>
    <w:rsid w:val="00314880"/>
    <w:rsid w:val="0032057B"/>
    <w:rsid w:val="0032308D"/>
    <w:rsid w:val="003278EC"/>
    <w:rsid w:val="00327D32"/>
    <w:rsid w:val="00336775"/>
    <w:rsid w:val="003522CD"/>
    <w:rsid w:val="0035647B"/>
    <w:rsid w:val="00360D25"/>
    <w:rsid w:val="00376F02"/>
    <w:rsid w:val="003805D4"/>
    <w:rsid w:val="00385F93"/>
    <w:rsid w:val="003A3D51"/>
    <w:rsid w:val="003A4136"/>
    <w:rsid w:val="003B252E"/>
    <w:rsid w:val="003B5986"/>
    <w:rsid w:val="003D006E"/>
    <w:rsid w:val="003D22CC"/>
    <w:rsid w:val="003D7858"/>
    <w:rsid w:val="003E1559"/>
    <w:rsid w:val="003E59C5"/>
    <w:rsid w:val="004048FD"/>
    <w:rsid w:val="00421B19"/>
    <w:rsid w:val="00452DD5"/>
    <w:rsid w:val="00463FF8"/>
    <w:rsid w:val="004643D5"/>
    <w:rsid w:val="00475064"/>
    <w:rsid w:val="004853B0"/>
    <w:rsid w:val="00493550"/>
    <w:rsid w:val="004B2D14"/>
    <w:rsid w:val="004C6668"/>
    <w:rsid w:val="004E212C"/>
    <w:rsid w:val="004E5B6E"/>
    <w:rsid w:val="004F041F"/>
    <w:rsid w:val="004F0F1C"/>
    <w:rsid w:val="00504CA6"/>
    <w:rsid w:val="005226BB"/>
    <w:rsid w:val="00545294"/>
    <w:rsid w:val="00551ADB"/>
    <w:rsid w:val="00552B5C"/>
    <w:rsid w:val="00566C7E"/>
    <w:rsid w:val="005779EB"/>
    <w:rsid w:val="0058003F"/>
    <w:rsid w:val="0058014E"/>
    <w:rsid w:val="00582153"/>
    <w:rsid w:val="005927E9"/>
    <w:rsid w:val="0059626E"/>
    <w:rsid w:val="005B71F4"/>
    <w:rsid w:val="005C553D"/>
    <w:rsid w:val="005D13B1"/>
    <w:rsid w:val="006361D2"/>
    <w:rsid w:val="0069034D"/>
    <w:rsid w:val="006925CB"/>
    <w:rsid w:val="006C7730"/>
    <w:rsid w:val="006D5A1E"/>
    <w:rsid w:val="0075664B"/>
    <w:rsid w:val="00763C22"/>
    <w:rsid w:val="0076545E"/>
    <w:rsid w:val="00770CD4"/>
    <w:rsid w:val="00776757"/>
    <w:rsid w:val="00776EB2"/>
    <w:rsid w:val="0078104E"/>
    <w:rsid w:val="007858A6"/>
    <w:rsid w:val="007961AB"/>
    <w:rsid w:val="007A21D0"/>
    <w:rsid w:val="007B1699"/>
    <w:rsid w:val="007B4EB6"/>
    <w:rsid w:val="007E1245"/>
    <w:rsid w:val="007E4EC5"/>
    <w:rsid w:val="007E7331"/>
    <w:rsid w:val="007F1514"/>
    <w:rsid w:val="007F1946"/>
    <w:rsid w:val="007F20B5"/>
    <w:rsid w:val="007F27F9"/>
    <w:rsid w:val="00807875"/>
    <w:rsid w:val="00816624"/>
    <w:rsid w:val="0082772A"/>
    <w:rsid w:val="008420B0"/>
    <w:rsid w:val="008802A9"/>
    <w:rsid w:val="00885A97"/>
    <w:rsid w:val="00890A5D"/>
    <w:rsid w:val="008A25EE"/>
    <w:rsid w:val="008E1688"/>
    <w:rsid w:val="008F6FB7"/>
    <w:rsid w:val="00907E5D"/>
    <w:rsid w:val="009360D0"/>
    <w:rsid w:val="00941952"/>
    <w:rsid w:val="00942C61"/>
    <w:rsid w:val="00946D50"/>
    <w:rsid w:val="009578BB"/>
    <w:rsid w:val="00970543"/>
    <w:rsid w:val="00983E19"/>
    <w:rsid w:val="009925EF"/>
    <w:rsid w:val="00994BA8"/>
    <w:rsid w:val="00995261"/>
    <w:rsid w:val="00996E43"/>
    <w:rsid w:val="009A334A"/>
    <w:rsid w:val="009C21B2"/>
    <w:rsid w:val="009C59AB"/>
    <w:rsid w:val="009E3F68"/>
    <w:rsid w:val="00A01125"/>
    <w:rsid w:val="00A233C0"/>
    <w:rsid w:val="00A266BF"/>
    <w:rsid w:val="00A4659F"/>
    <w:rsid w:val="00A563F1"/>
    <w:rsid w:val="00A66F4F"/>
    <w:rsid w:val="00A70069"/>
    <w:rsid w:val="00A81434"/>
    <w:rsid w:val="00AA3329"/>
    <w:rsid w:val="00AD00D9"/>
    <w:rsid w:val="00AF57D7"/>
    <w:rsid w:val="00AF6168"/>
    <w:rsid w:val="00AF6CAB"/>
    <w:rsid w:val="00B0503C"/>
    <w:rsid w:val="00B13894"/>
    <w:rsid w:val="00B30D91"/>
    <w:rsid w:val="00B3690C"/>
    <w:rsid w:val="00B36A2F"/>
    <w:rsid w:val="00B40FB0"/>
    <w:rsid w:val="00B41385"/>
    <w:rsid w:val="00B42ABB"/>
    <w:rsid w:val="00B43FC1"/>
    <w:rsid w:val="00B500FC"/>
    <w:rsid w:val="00B673DC"/>
    <w:rsid w:val="00B80D2C"/>
    <w:rsid w:val="00B91F93"/>
    <w:rsid w:val="00B97642"/>
    <w:rsid w:val="00BE7524"/>
    <w:rsid w:val="00C00761"/>
    <w:rsid w:val="00C162CD"/>
    <w:rsid w:val="00C25EE4"/>
    <w:rsid w:val="00C446AF"/>
    <w:rsid w:val="00C548FB"/>
    <w:rsid w:val="00C63C81"/>
    <w:rsid w:val="00C66441"/>
    <w:rsid w:val="00C76FBB"/>
    <w:rsid w:val="00C800F2"/>
    <w:rsid w:val="00C80531"/>
    <w:rsid w:val="00C817AB"/>
    <w:rsid w:val="00C81F09"/>
    <w:rsid w:val="00C97136"/>
    <w:rsid w:val="00CC3018"/>
    <w:rsid w:val="00CD0574"/>
    <w:rsid w:val="00CD42C9"/>
    <w:rsid w:val="00CE262C"/>
    <w:rsid w:val="00D30BBD"/>
    <w:rsid w:val="00D30D81"/>
    <w:rsid w:val="00D3799D"/>
    <w:rsid w:val="00D40A7E"/>
    <w:rsid w:val="00D40B3C"/>
    <w:rsid w:val="00D60B51"/>
    <w:rsid w:val="00D7215A"/>
    <w:rsid w:val="00D7229F"/>
    <w:rsid w:val="00D735C6"/>
    <w:rsid w:val="00D85E19"/>
    <w:rsid w:val="00D92A77"/>
    <w:rsid w:val="00DC281D"/>
    <w:rsid w:val="00DD28CA"/>
    <w:rsid w:val="00DD404C"/>
    <w:rsid w:val="00DE0FD1"/>
    <w:rsid w:val="00DE4F90"/>
    <w:rsid w:val="00DF083C"/>
    <w:rsid w:val="00E13739"/>
    <w:rsid w:val="00E147D7"/>
    <w:rsid w:val="00E60FAD"/>
    <w:rsid w:val="00E71BCE"/>
    <w:rsid w:val="00E76E26"/>
    <w:rsid w:val="00E77BB9"/>
    <w:rsid w:val="00E80B6B"/>
    <w:rsid w:val="00EB704E"/>
    <w:rsid w:val="00EC07D9"/>
    <w:rsid w:val="00EC6CAD"/>
    <w:rsid w:val="00EE3699"/>
    <w:rsid w:val="00EF65E1"/>
    <w:rsid w:val="00F03078"/>
    <w:rsid w:val="00F123E9"/>
    <w:rsid w:val="00F2170D"/>
    <w:rsid w:val="00F55819"/>
    <w:rsid w:val="00F61F47"/>
    <w:rsid w:val="00F83B09"/>
    <w:rsid w:val="00F95FDC"/>
    <w:rsid w:val="00FB5FDB"/>
    <w:rsid w:val="00FB7E93"/>
    <w:rsid w:val="00FE0107"/>
    <w:rsid w:val="00FE23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5A1E"/>
    <w:rPr>
      <w:rFonts w:ascii="Times New Roman"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5A1E"/>
    <w:pPr>
      <w:spacing w:after="0" w:line="240" w:lineRule="auto"/>
    </w:pPr>
    <w:rPr>
      <w:rFonts w:ascii="Times New Roman" w:hAnsi="Times New Roman"/>
    </w:rPr>
  </w:style>
  <w:style w:type="paragraph" w:customStyle="1" w:styleId="Normaltext">
    <w:name w:val="Normaltext"/>
    <w:basedOn w:val="Standard"/>
    <w:rsid w:val="00421B19"/>
    <w:pPr>
      <w:spacing w:after="0" w:line="360" w:lineRule="exact"/>
    </w:pPr>
    <w:rPr>
      <w:rFonts w:eastAsia="Times New Roman" w:cs="Times New Roman"/>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5A1E"/>
    <w:rPr>
      <w:rFonts w:ascii="Times New Roman"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5A1E"/>
    <w:pPr>
      <w:spacing w:after="0" w:line="240" w:lineRule="auto"/>
    </w:pPr>
    <w:rPr>
      <w:rFonts w:ascii="Times New Roman" w:hAnsi="Times New Roman"/>
    </w:rPr>
  </w:style>
  <w:style w:type="paragraph" w:customStyle="1" w:styleId="Normaltext">
    <w:name w:val="Normaltext"/>
    <w:basedOn w:val="Standard"/>
    <w:rsid w:val="00421B19"/>
    <w:pPr>
      <w:spacing w:after="0" w:line="360" w:lineRule="exact"/>
    </w:pPr>
    <w:rPr>
      <w:rFonts w:eastAsia="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90cf6dfa-014d-48c5-8b00-2766b105f1f0</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92E85-CAFD-4A87-8D55-EAC94934EC96}">
  <ds:schemaRefs>
    <ds:schemaRef ds:uri="http://www.datev.de/BSOffice/999929"/>
  </ds:schemaRefs>
</ds:datastoreItem>
</file>

<file path=customXml/itemProps2.xml><?xml version="1.0" encoding="utf-8"?>
<ds:datastoreItem xmlns:ds="http://schemas.openxmlformats.org/officeDocument/2006/customXml" ds:itemID="{19F55E78-0A34-47AF-9089-20928EA7F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957</Words>
  <Characters>6036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Kanzlei Luithlen</Company>
  <LinksUpToDate>false</LinksUpToDate>
  <CharactersWithSpaces>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Schmidt-Eberth</dc:creator>
  <cp:lastModifiedBy>Jens Becker-Platen</cp:lastModifiedBy>
  <cp:revision>10</cp:revision>
  <cp:lastPrinted>2013-12-05T15:57:00Z</cp:lastPrinted>
  <dcterms:created xsi:type="dcterms:W3CDTF">2017-12-29T08:55:00Z</dcterms:created>
  <dcterms:modified xsi:type="dcterms:W3CDTF">2018-01-31T15:23:00Z</dcterms:modified>
</cp:coreProperties>
</file>