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A0" w:rsidRDefault="001745A0" w:rsidP="006D5A1E">
      <w:pPr>
        <w:pStyle w:val="KeinLeerraum"/>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6866D5">
                              <w:rPr>
                                <w:b/>
                                <w:sz w:val="28"/>
                              </w:rPr>
                              <w:t>Juni</w:t>
                            </w:r>
                            <w:r w:rsidR="00FE0107">
                              <w:rPr>
                                <w:b/>
                                <w:sz w:val="28"/>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6866D5">
                        <w:rPr>
                          <w:b/>
                          <w:sz w:val="28"/>
                        </w:rPr>
                        <w:t>Juni</w:t>
                      </w:r>
                      <w:r w:rsidR="00FE0107">
                        <w:rPr>
                          <w:b/>
                          <w:sz w:val="28"/>
                        </w:rPr>
                        <w:t xml:space="preserve"> 2018</w:t>
                      </w:r>
                    </w:p>
                  </w:txbxContent>
                </v:textbox>
              </v:shape>
            </w:pict>
          </mc:Fallback>
        </mc:AlternateContent>
      </w: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7D3142" w:rsidRDefault="00264863" w:rsidP="00605856">
      <w:pPr>
        <w:pStyle w:val="KeinLeerraum"/>
      </w:pPr>
      <w:r w:rsidRPr="00264863">
        <w:t xml:space="preserve">Der </w:t>
      </w:r>
      <w:r w:rsidRPr="00264863">
        <w:rPr>
          <w:b/>
        </w:rPr>
        <w:t>BGH</w:t>
      </w:r>
      <w:r w:rsidRPr="00264863">
        <w:t xml:space="preserve"> hat mit Urteil vom </w:t>
      </w:r>
      <w:r w:rsidR="00605856" w:rsidRPr="00605856">
        <w:t>10.11.2017 Fo</w:t>
      </w:r>
      <w:r w:rsidR="00605856" w:rsidRPr="00605856">
        <w:t>l</w:t>
      </w:r>
      <w:r w:rsidR="00605856" w:rsidRPr="00605856">
        <w:t>gendes entschieden: Durch die Gemeinschaft</w:t>
      </w:r>
      <w:r w:rsidR="00605856" w:rsidRPr="00605856">
        <w:t>s</w:t>
      </w:r>
      <w:r w:rsidR="00605856" w:rsidRPr="00605856">
        <w:t>ordnung für eine Mehrhausanlage kann den Mitgliedern der für einzelne Gebäude oder Gebäudekomplexe gebildeten Untergemei</w:t>
      </w:r>
      <w:r w:rsidR="00605856" w:rsidRPr="00605856">
        <w:t>n</w:t>
      </w:r>
      <w:r w:rsidR="00605856" w:rsidRPr="00605856">
        <w:t xml:space="preserve">schaften die Kompetenz eingeräumt werden, </w:t>
      </w:r>
      <w:bookmarkStart w:id="0" w:name="_GoBack"/>
      <w:bookmarkEnd w:id="0"/>
      <w:r w:rsidR="00605856" w:rsidRPr="00605856">
        <w:t>unter Ausschluss der anderen Eigentümer die Durchführung von Instandhaltungs-, Instan</w:t>
      </w:r>
      <w:r w:rsidR="00605856" w:rsidRPr="00605856">
        <w:t>d</w:t>
      </w:r>
      <w:r w:rsidR="00605856" w:rsidRPr="00605856">
        <w:t>setzungs- und Sanierungsmaßnahmen zu b</w:t>
      </w:r>
      <w:r w:rsidR="00605856" w:rsidRPr="00605856">
        <w:t>e</w:t>
      </w:r>
      <w:r w:rsidR="00605856" w:rsidRPr="00605856">
        <w:t>schließen, die ein zu der jeweiligen Unterg</w:t>
      </w:r>
      <w:r w:rsidR="00605856" w:rsidRPr="00605856">
        <w:t>e</w:t>
      </w:r>
      <w:r w:rsidR="00605856" w:rsidRPr="00605856">
        <w:t>meinschaft gehörendes Gebäude betreffen, wenn zugleich bestimmt wird, dass die durch diese Maßnahmen verursachten Kosten im Innenverhältnis allein von den Mitgliedern der jeweiligen U</w:t>
      </w:r>
      <w:r w:rsidR="00605856">
        <w:t>ntergemeinschaft zu tragen sind.</w:t>
      </w:r>
    </w:p>
    <w:p w:rsidR="00605856" w:rsidRDefault="00605856" w:rsidP="00605856">
      <w:pPr>
        <w:pStyle w:val="KeinLeerraum"/>
      </w:pPr>
    </w:p>
    <w:p w:rsidR="00605856" w:rsidRDefault="009D717F" w:rsidP="00605856">
      <w:pPr>
        <w:pStyle w:val="KeinLeerraum"/>
        <w:rPr>
          <w:rFonts w:cs="Times New Roman"/>
        </w:rPr>
      </w:pPr>
      <w:r w:rsidRPr="009D717F">
        <w:rPr>
          <w:rFonts w:cs="Times New Roman"/>
        </w:rPr>
        <w:t xml:space="preserve">Das </w:t>
      </w:r>
      <w:r w:rsidRPr="009D717F">
        <w:rPr>
          <w:rFonts w:cs="Times New Roman"/>
          <w:b/>
        </w:rPr>
        <w:t>Kammergericht Berlin</w:t>
      </w:r>
      <w:r w:rsidRPr="009D717F">
        <w:rPr>
          <w:rFonts w:cs="Times New Roman"/>
        </w:rPr>
        <w:t xml:space="preserve"> hat mit Beschluss vom 23.10.2017 entschieden, dass für die Au</w:t>
      </w:r>
      <w:r w:rsidRPr="009D717F">
        <w:rPr>
          <w:rFonts w:cs="Times New Roman"/>
        </w:rPr>
        <w:t>s</w:t>
      </w:r>
      <w:r w:rsidRPr="009D717F">
        <w:rPr>
          <w:rFonts w:cs="Times New Roman"/>
        </w:rPr>
        <w:t>übung einer Verlängerungsoption ein Telefax genügt. Wird eine dritte Person bevollmäc</w:t>
      </w:r>
      <w:r w:rsidRPr="009D717F">
        <w:rPr>
          <w:rFonts w:cs="Times New Roman"/>
        </w:rPr>
        <w:t>h</w:t>
      </w:r>
      <w:r w:rsidRPr="009D717F">
        <w:rPr>
          <w:rFonts w:cs="Times New Roman"/>
        </w:rPr>
        <w:t>tigt, für den Vermieter Mietverhältnisse zu kündigen und zu beenden, ist sie somit auch bevollmächtigt, Vertragsverlängerungen se</w:t>
      </w:r>
      <w:r w:rsidRPr="009D717F">
        <w:rPr>
          <w:rFonts w:cs="Times New Roman"/>
        </w:rPr>
        <w:t>i</w:t>
      </w:r>
      <w:r w:rsidRPr="009D717F">
        <w:rPr>
          <w:rFonts w:cs="Times New Roman"/>
        </w:rPr>
        <w:t>tens des Mieters zu widersprechen. Für die Frage, ob eine Zurückweisung i. S. d. § 174 Satz 1 BGB unverzüglich erfolgt ist, gelten die zu § 121 BGB aufgestellten Grundsätze en</w:t>
      </w:r>
      <w:r w:rsidRPr="009D717F">
        <w:rPr>
          <w:rFonts w:cs="Times New Roman"/>
        </w:rPr>
        <w:t>t</w:t>
      </w:r>
      <w:r w:rsidRPr="009D717F">
        <w:rPr>
          <w:rFonts w:cs="Times New Roman"/>
        </w:rPr>
        <w:t>sprechend. Unverzüglich bedeutet ohne schuldhaftes Zögern. Die Zurückweisung einer Kündigung ist nach einer Zeitspanne von mehr als einer Woche ohne das Vorliegen besond</w:t>
      </w:r>
      <w:r w:rsidRPr="009D717F">
        <w:rPr>
          <w:rFonts w:cs="Times New Roman"/>
        </w:rPr>
        <w:t>e</w:t>
      </w:r>
      <w:r w:rsidRPr="009D717F">
        <w:rPr>
          <w:rFonts w:cs="Times New Roman"/>
        </w:rPr>
        <w:t>rer Umstände des Einzelfalls nicht mehr u</w:t>
      </w:r>
      <w:r w:rsidRPr="009D717F">
        <w:rPr>
          <w:rFonts w:cs="Times New Roman"/>
        </w:rPr>
        <w:t>n</w:t>
      </w:r>
      <w:r w:rsidRPr="009D717F">
        <w:rPr>
          <w:rFonts w:cs="Times New Roman"/>
        </w:rPr>
        <w:t>verzüglich i. S. d. § 174 Satz 1 BGB. Das Gleiche gilt bei der Erklärung eines Wide</w:t>
      </w:r>
      <w:r w:rsidRPr="009D717F">
        <w:rPr>
          <w:rFonts w:cs="Times New Roman"/>
        </w:rPr>
        <w:t>r</w:t>
      </w:r>
      <w:r w:rsidRPr="009D717F">
        <w:rPr>
          <w:rFonts w:cs="Times New Roman"/>
        </w:rPr>
        <w:t>spruchs gegen eine Vertragsverlängerung.</w:t>
      </w:r>
    </w:p>
    <w:p w:rsidR="009D717F" w:rsidRDefault="009D717F" w:rsidP="00605856">
      <w:pPr>
        <w:pStyle w:val="KeinLeerraum"/>
        <w:rPr>
          <w:rFonts w:cs="Times New Roman"/>
        </w:rPr>
      </w:pPr>
    </w:p>
    <w:p w:rsidR="009D717F" w:rsidRDefault="009D717F" w:rsidP="00605856">
      <w:pPr>
        <w:pStyle w:val="KeinLeerraum"/>
        <w:rPr>
          <w:rFonts w:cs="Times New Roman"/>
        </w:rPr>
      </w:pPr>
      <w:r w:rsidRPr="009D717F">
        <w:rPr>
          <w:rFonts w:cs="Times New Roman"/>
        </w:rPr>
        <w:t xml:space="preserve">Das </w:t>
      </w:r>
      <w:r w:rsidRPr="009D717F">
        <w:rPr>
          <w:rFonts w:cs="Times New Roman"/>
          <w:b/>
        </w:rPr>
        <w:t xml:space="preserve">Kammergericht </w:t>
      </w:r>
      <w:r w:rsidRPr="009D717F">
        <w:rPr>
          <w:rFonts w:cs="Times New Roman"/>
        </w:rPr>
        <w:t>hat mit Beschluss vom 23.10.2017 weiter entschieden, dass der Mieter grundsätzlich bauliche Änderungen an der Mietsache einschließlich von ihm errichteter Gebäude bei Beendigung des Mietverhältnis zu beseitigen hat, sofern sich nicht aus den U</w:t>
      </w:r>
      <w:r w:rsidRPr="009D717F">
        <w:rPr>
          <w:rFonts w:cs="Times New Roman"/>
        </w:rPr>
        <w:t>m</w:t>
      </w:r>
      <w:r w:rsidRPr="009D717F">
        <w:rPr>
          <w:rFonts w:cs="Times New Roman"/>
        </w:rPr>
        <w:t>stände</w:t>
      </w:r>
      <w:r>
        <w:rPr>
          <w:rFonts w:cs="Times New Roman"/>
        </w:rPr>
        <w:t>n</w:t>
      </w:r>
      <w:r w:rsidRPr="009D717F">
        <w:rPr>
          <w:rFonts w:cs="Times New Roman"/>
        </w:rPr>
        <w:t xml:space="preserve"> ergibt, dass der Vermieter hierauf ve</w:t>
      </w:r>
      <w:r w:rsidRPr="009D717F">
        <w:rPr>
          <w:rFonts w:cs="Times New Roman"/>
        </w:rPr>
        <w:t>r</w:t>
      </w:r>
      <w:r w:rsidRPr="009D717F">
        <w:rPr>
          <w:rFonts w:cs="Times New Roman"/>
        </w:rPr>
        <w:t>zichtet hat. Auch der Mieter von Gewerb</w:t>
      </w:r>
      <w:r w:rsidRPr="009D717F">
        <w:rPr>
          <w:rFonts w:cs="Times New Roman"/>
        </w:rPr>
        <w:t>e</w:t>
      </w:r>
      <w:r>
        <w:rPr>
          <w:rFonts w:cs="Times New Roman"/>
        </w:rPr>
        <w:t>raum, der von seinen Mietv</w:t>
      </w:r>
      <w:r w:rsidRPr="009D717F">
        <w:rPr>
          <w:rFonts w:cs="Times New Roman"/>
        </w:rPr>
        <w:t>orgänger im Ei</w:t>
      </w:r>
      <w:r w:rsidRPr="009D717F">
        <w:rPr>
          <w:rFonts w:cs="Times New Roman"/>
        </w:rPr>
        <w:t>n</w:t>
      </w:r>
      <w:r w:rsidRPr="009D717F">
        <w:rPr>
          <w:rFonts w:cs="Times New Roman"/>
        </w:rPr>
        <w:t>verständnis mit dem Vermieter Einbauten übernimmt, hat im Rahmen seiner Rückgab</w:t>
      </w:r>
      <w:r w:rsidRPr="009D717F">
        <w:rPr>
          <w:rFonts w:cs="Times New Roman"/>
        </w:rPr>
        <w:t>e</w:t>
      </w:r>
      <w:r w:rsidRPr="009D717F">
        <w:rPr>
          <w:rFonts w:cs="Times New Roman"/>
        </w:rPr>
        <w:t>pflicht diese bei Beendigung des Mietvertrages zu entfernen und insoweit den früheren Z</w:t>
      </w:r>
      <w:r w:rsidRPr="009D717F">
        <w:rPr>
          <w:rFonts w:cs="Times New Roman"/>
        </w:rPr>
        <w:t>u</w:t>
      </w:r>
      <w:r w:rsidRPr="009D717F">
        <w:rPr>
          <w:rFonts w:cs="Times New Roman"/>
        </w:rPr>
        <w:t>stand wiederherzustellen, weil er sich mit A</w:t>
      </w:r>
      <w:r w:rsidRPr="009D717F">
        <w:rPr>
          <w:rFonts w:cs="Times New Roman"/>
        </w:rPr>
        <w:t>b</w:t>
      </w:r>
      <w:r w:rsidRPr="009D717F">
        <w:rPr>
          <w:rFonts w:cs="Times New Roman"/>
        </w:rPr>
        <w:t xml:space="preserve">schluss des Mietvertrags behandeln lassen </w:t>
      </w:r>
      <w:r w:rsidRPr="009D717F">
        <w:rPr>
          <w:rFonts w:cs="Times New Roman"/>
        </w:rPr>
        <w:lastRenderedPageBreak/>
        <w:t>muss wie ein Mieter, der die eingebrachten Sachen erst nach Abschluss des Mietvertrages einbaut und mit Beendigung des Mietverhäl</w:t>
      </w:r>
      <w:r w:rsidRPr="009D717F">
        <w:rPr>
          <w:rFonts w:cs="Times New Roman"/>
        </w:rPr>
        <w:t>t</w:t>
      </w:r>
      <w:r w:rsidRPr="009D717F">
        <w:rPr>
          <w:rFonts w:cs="Times New Roman"/>
        </w:rPr>
        <w:t>nisses zu entfernen hat. Verbindet ein Mieter, Pächter oder in ähnlicher Weise schuldrech</w:t>
      </w:r>
      <w:r w:rsidRPr="009D717F">
        <w:rPr>
          <w:rFonts w:cs="Times New Roman"/>
        </w:rPr>
        <w:t>t</w:t>
      </w:r>
      <w:r w:rsidRPr="009D717F">
        <w:rPr>
          <w:rFonts w:cs="Times New Roman"/>
        </w:rPr>
        <w:t>lich Berechtigter Sachen mit dem Grund und Boden, so spricht regelmäßig eine Vermutung dafür, dass dies mangels besonderer Vereinb</w:t>
      </w:r>
      <w:r w:rsidRPr="009D717F">
        <w:rPr>
          <w:rFonts w:cs="Times New Roman"/>
        </w:rPr>
        <w:t>a</w:t>
      </w:r>
      <w:r w:rsidRPr="009D717F">
        <w:rPr>
          <w:rFonts w:cs="Times New Roman"/>
        </w:rPr>
        <w:t>rung nur in seinem Interesse für die Dauer des Vertragsverhältnisses und damit zu einem v</w:t>
      </w:r>
      <w:r w:rsidRPr="009D717F">
        <w:rPr>
          <w:rFonts w:cs="Times New Roman"/>
        </w:rPr>
        <w:t>o</w:t>
      </w:r>
      <w:r w:rsidRPr="009D717F">
        <w:rPr>
          <w:rFonts w:cs="Times New Roman"/>
        </w:rPr>
        <w:t>rübergehenden Zweck i. S. v. § 95 BGB g</w:t>
      </w:r>
      <w:r w:rsidRPr="009D717F">
        <w:rPr>
          <w:rFonts w:cs="Times New Roman"/>
        </w:rPr>
        <w:t>e</w:t>
      </w:r>
      <w:r w:rsidRPr="009D717F">
        <w:rPr>
          <w:rFonts w:cs="Times New Roman"/>
        </w:rPr>
        <w:t xml:space="preserve">schieht. </w:t>
      </w:r>
    </w:p>
    <w:p w:rsidR="009D717F" w:rsidRDefault="009D717F" w:rsidP="00605856">
      <w:pPr>
        <w:pStyle w:val="KeinLeerraum"/>
        <w:rPr>
          <w:rFonts w:cs="Times New Roman"/>
        </w:rPr>
      </w:pPr>
    </w:p>
    <w:p w:rsidR="009D717F" w:rsidRDefault="009D717F" w:rsidP="00605856">
      <w:pPr>
        <w:pStyle w:val="KeinLeerraum"/>
        <w:rPr>
          <w:rFonts w:cs="Times New Roman"/>
        </w:rPr>
      </w:pPr>
      <w:r w:rsidRPr="009D717F">
        <w:rPr>
          <w:rFonts w:cs="Times New Roman"/>
        </w:rPr>
        <w:t xml:space="preserve">Der </w:t>
      </w:r>
      <w:r w:rsidRPr="009D717F">
        <w:rPr>
          <w:rFonts w:cs="Times New Roman"/>
          <w:b/>
        </w:rPr>
        <w:t>BGH</w:t>
      </w:r>
      <w:r w:rsidRPr="009D717F">
        <w:rPr>
          <w:rFonts w:cs="Times New Roman"/>
        </w:rPr>
        <w:t xml:space="preserve"> hat mit Urteil vom 15.12.2017 en</w:t>
      </w:r>
      <w:r w:rsidRPr="009D717F">
        <w:rPr>
          <w:rFonts w:cs="Times New Roman"/>
        </w:rPr>
        <w:t>t</w:t>
      </w:r>
      <w:r w:rsidRPr="009D717F">
        <w:rPr>
          <w:rFonts w:cs="Times New Roman"/>
        </w:rPr>
        <w:t>schieden, dass der Erwerber von Wohnungs- und oder Teileigentum für eine nach dem E</w:t>
      </w:r>
      <w:r w:rsidRPr="009D717F">
        <w:rPr>
          <w:rFonts w:cs="Times New Roman"/>
        </w:rPr>
        <w:t>i</w:t>
      </w:r>
      <w:r w:rsidRPr="009D717F">
        <w:rPr>
          <w:rFonts w:cs="Times New Roman"/>
        </w:rPr>
        <w:t>gentümerwechsel fällig werdende Sonderu</w:t>
      </w:r>
      <w:r w:rsidRPr="009D717F">
        <w:rPr>
          <w:rFonts w:cs="Times New Roman"/>
        </w:rPr>
        <w:t>m</w:t>
      </w:r>
      <w:r>
        <w:rPr>
          <w:rFonts w:cs="Times New Roman"/>
        </w:rPr>
        <w:t>lage</w:t>
      </w:r>
      <w:r w:rsidRPr="009D717F">
        <w:rPr>
          <w:rFonts w:cs="Times New Roman"/>
        </w:rPr>
        <w:t xml:space="preserve"> haftet, auch wenn deren Erhebung vor dem Eigentumswechsel beschlossen wurde. Enthält der Sonde</w:t>
      </w:r>
      <w:r>
        <w:rPr>
          <w:rFonts w:cs="Times New Roman"/>
        </w:rPr>
        <w:t>rumlagenb</w:t>
      </w:r>
      <w:r w:rsidRPr="009D717F">
        <w:rPr>
          <w:rFonts w:cs="Times New Roman"/>
        </w:rPr>
        <w:t>eschluss keine ausdrückliche Aussage zur Fälligkeit der U</w:t>
      </w:r>
      <w:r w:rsidRPr="009D717F">
        <w:rPr>
          <w:rFonts w:cs="Times New Roman"/>
        </w:rPr>
        <w:t>m</w:t>
      </w:r>
      <w:r w:rsidRPr="009D717F">
        <w:rPr>
          <w:rFonts w:cs="Times New Roman"/>
        </w:rPr>
        <w:t>lage, wird diese erst mit Abruf durch den Ve</w:t>
      </w:r>
      <w:r w:rsidRPr="009D717F">
        <w:rPr>
          <w:rFonts w:cs="Times New Roman"/>
        </w:rPr>
        <w:t>r</w:t>
      </w:r>
      <w:r>
        <w:rPr>
          <w:rFonts w:cs="Times New Roman"/>
        </w:rPr>
        <w:t>walter fällig.</w:t>
      </w:r>
    </w:p>
    <w:p w:rsidR="009D717F" w:rsidRDefault="009D717F" w:rsidP="00605856">
      <w:pPr>
        <w:pStyle w:val="KeinLeerraum"/>
        <w:rPr>
          <w:rFonts w:cs="Times New Roman"/>
        </w:rPr>
      </w:pPr>
    </w:p>
    <w:p w:rsidR="009D717F" w:rsidRDefault="009D717F" w:rsidP="00605856">
      <w:pPr>
        <w:pStyle w:val="KeinLeerraum"/>
        <w:rPr>
          <w:rFonts w:cs="Times New Roman"/>
        </w:rPr>
      </w:pPr>
      <w:r w:rsidRPr="009D717F">
        <w:rPr>
          <w:rFonts w:cs="Times New Roman"/>
        </w:rPr>
        <w:t xml:space="preserve">Das </w:t>
      </w:r>
      <w:r w:rsidRPr="009D717F">
        <w:rPr>
          <w:rFonts w:cs="Times New Roman"/>
          <w:b/>
        </w:rPr>
        <w:t>Landgericht Frankfurt</w:t>
      </w:r>
      <w:r w:rsidRPr="009D717F">
        <w:rPr>
          <w:rFonts w:cs="Times New Roman"/>
        </w:rPr>
        <w:t xml:space="preserve"> hat mit Urteil vom 15.03.2018 entschieden, dass vor der Beschlussfassung über einen Wirtschaftsplan dieser den Eigentümern zur</w:t>
      </w:r>
      <w:r>
        <w:rPr>
          <w:rFonts w:cs="Times New Roman"/>
        </w:rPr>
        <w:t xml:space="preserve"> Verfügung gestellt werden muss. E</w:t>
      </w:r>
      <w:r w:rsidRPr="009D717F">
        <w:rPr>
          <w:rFonts w:cs="Times New Roman"/>
        </w:rPr>
        <w:t>ine Übersendung von Unterl</w:t>
      </w:r>
      <w:r w:rsidRPr="009D717F">
        <w:rPr>
          <w:rFonts w:cs="Times New Roman"/>
        </w:rPr>
        <w:t>a</w:t>
      </w:r>
      <w:r w:rsidRPr="009D717F">
        <w:rPr>
          <w:rFonts w:cs="Times New Roman"/>
        </w:rPr>
        <w:t>gen zu einem vorgeschlagenen Beschluss ist erforderlich, wenn für die Beschlussfassung eine eingehende inhaltliche Auseinanderse</w:t>
      </w:r>
      <w:r w:rsidRPr="009D717F">
        <w:rPr>
          <w:rFonts w:cs="Times New Roman"/>
        </w:rPr>
        <w:t>t</w:t>
      </w:r>
      <w:r w:rsidRPr="009D717F">
        <w:rPr>
          <w:rFonts w:cs="Times New Roman"/>
        </w:rPr>
        <w:t>zung mit diesen Unterlagen von wesentlicher Bedeutung ist. Dies wird regelmäßig im Hi</w:t>
      </w:r>
      <w:r w:rsidRPr="009D717F">
        <w:rPr>
          <w:rFonts w:cs="Times New Roman"/>
        </w:rPr>
        <w:t>n</w:t>
      </w:r>
      <w:r w:rsidRPr="009D717F">
        <w:rPr>
          <w:rFonts w:cs="Times New Roman"/>
        </w:rPr>
        <w:t>blick auf Abrechnungen und Wirtschaftspläne angenom</w:t>
      </w:r>
      <w:r>
        <w:rPr>
          <w:rFonts w:cs="Times New Roman"/>
        </w:rPr>
        <w:t>men.</w:t>
      </w:r>
    </w:p>
    <w:p w:rsidR="009D717F" w:rsidRDefault="009D717F" w:rsidP="00605856">
      <w:pPr>
        <w:pStyle w:val="KeinLeerraum"/>
        <w:rPr>
          <w:rFonts w:cs="Times New Roman"/>
        </w:rPr>
      </w:pPr>
    </w:p>
    <w:p w:rsidR="009D717F" w:rsidRDefault="004E2E95" w:rsidP="00605856">
      <w:pPr>
        <w:pStyle w:val="KeinLeerraum"/>
        <w:rPr>
          <w:rFonts w:cs="Times New Roman"/>
        </w:rPr>
      </w:pPr>
      <w:r w:rsidRPr="004E2E95">
        <w:rPr>
          <w:rFonts w:cs="Times New Roman"/>
        </w:rPr>
        <w:t xml:space="preserve">Das </w:t>
      </w:r>
      <w:r w:rsidRPr="004E2E95">
        <w:rPr>
          <w:rFonts w:cs="Times New Roman"/>
          <w:b/>
        </w:rPr>
        <w:t>Landgericht Berlin</w:t>
      </w:r>
      <w:r w:rsidRPr="004E2E95">
        <w:rPr>
          <w:rFonts w:cs="Times New Roman"/>
        </w:rPr>
        <w:t xml:space="preserve"> hat mit Beschluss vom 27.11.2017 entschieden, dass für den Streitwert </w:t>
      </w:r>
      <w:r>
        <w:rPr>
          <w:rFonts w:cs="Times New Roman"/>
        </w:rPr>
        <w:t>beim</w:t>
      </w:r>
      <w:r w:rsidRPr="004E2E95">
        <w:rPr>
          <w:rFonts w:cs="Times New Roman"/>
        </w:rPr>
        <w:t xml:space="preserve"> Anspruch auf Duldung der Besichtigung einer Mietwohnung durch den Vermieter jeweils das Interesse des Klägers am verfolgten Zweck maßgeblich ist. Der Werta</w:t>
      </w:r>
      <w:r w:rsidRPr="004E2E95">
        <w:rPr>
          <w:rFonts w:cs="Times New Roman"/>
        </w:rPr>
        <w:t>n</w:t>
      </w:r>
      <w:r w:rsidRPr="004E2E95">
        <w:rPr>
          <w:rFonts w:cs="Times New Roman"/>
        </w:rPr>
        <w:t>satz für den Gebührenstreitwert ist in Höhe von 1 % des erwarteten Verkaufserlöses einer Immob</w:t>
      </w:r>
      <w:r>
        <w:rPr>
          <w:rFonts w:cs="Times New Roman"/>
        </w:rPr>
        <w:t>ilie angemessen und ausreichend.</w:t>
      </w:r>
    </w:p>
    <w:p w:rsidR="009D717F" w:rsidRDefault="009D717F" w:rsidP="009A5D8D">
      <w:pPr>
        <w:pStyle w:val="KeinLeerraum"/>
        <w:rPr>
          <w:rFonts w:cs="Times New Roman"/>
        </w:rPr>
      </w:pPr>
    </w:p>
    <w:p w:rsidR="009A5D8D" w:rsidRDefault="003F171B" w:rsidP="009A5D8D">
      <w:pPr>
        <w:pStyle w:val="KeinLeerraum"/>
        <w:rPr>
          <w:rFonts w:cs="Times New Roman"/>
        </w:rPr>
      </w:pPr>
      <w:r w:rsidRPr="003F171B">
        <w:rPr>
          <w:rFonts w:cs="Times New Roman"/>
        </w:rPr>
        <w:t xml:space="preserve">Das </w:t>
      </w:r>
      <w:r w:rsidRPr="003F171B">
        <w:rPr>
          <w:rFonts w:cs="Times New Roman"/>
          <w:b/>
        </w:rPr>
        <w:t>Landgericht Berlin</w:t>
      </w:r>
      <w:r w:rsidRPr="003F171B">
        <w:rPr>
          <w:rFonts w:cs="Times New Roman"/>
        </w:rPr>
        <w:t xml:space="preserve"> hat mit Urteil vom 20.07.2017 entschieden, dass auch nach Bee</w:t>
      </w:r>
      <w:r w:rsidRPr="003F171B">
        <w:rPr>
          <w:rFonts w:cs="Times New Roman"/>
        </w:rPr>
        <w:t>n</w:t>
      </w:r>
      <w:r w:rsidRPr="003F171B">
        <w:rPr>
          <w:rFonts w:cs="Times New Roman"/>
        </w:rPr>
        <w:t>digung des Mietverhältnisses die Kaution grundsätzlich nur eine Sicherungs- und keine Befriedigungsfunktion hat. Deshalb ist der Vermieter nach Vertragsende nur wegen u</w:t>
      </w:r>
      <w:r w:rsidRPr="003F171B">
        <w:rPr>
          <w:rFonts w:cs="Times New Roman"/>
        </w:rPr>
        <w:t>n</w:t>
      </w:r>
      <w:r w:rsidRPr="003F171B">
        <w:rPr>
          <w:rFonts w:cs="Times New Roman"/>
        </w:rPr>
        <w:t>streitiger oder rechtskräftig festgestellte A</w:t>
      </w:r>
      <w:r w:rsidRPr="003F171B">
        <w:rPr>
          <w:rFonts w:cs="Times New Roman"/>
        </w:rPr>
        <w:t>n</w:t>
      </w:r>
      <w:r w:rsidRPr="003F171B">
        <w:rPr>
          <w:rFonts w:cs="Times New Roman"/>
        </w:rPr>
        <w:t>sprüche zur Inanspruchnahme der Kaution befugt. Droht nach Beendigung des Mietve</w:t>
      </w:r>
      <w:r w:rsidRPr="003F171B">
        <w:rPr>
          <w:rFonts w:cs="Times New Roman"/>
        </w:rPr>
        <w:t>r</w:t>
      </w:r>
      <w:r w:rsidRPr="003F171B">
        <w:rPr>
          <w:rFonts w:cs="Times New Roman"/>
        </w:rPr>
        <w:lastRenderedPageBreak/>
        <w:t>hältnisses die Inanspruchnahme der Kaution durch den Vermieter wegen streitiger Anspr</w:t>
      </w:r>
      <w:r w:rsidRPr="003F171B">
        <w:rPr>
          <w:rFonts w:cs="Times New Roman"/>
        </w:rPr>
        <w:t>ü</w:t>
      </w:r>
      <w:r w:rsidRPr="003F171B">
        <w:rPr>
          <w:rFonts w:cs="Times New Roman"/>
        </w:rPr>
        <w:t>che, kann der Mieter im einstweiligen Verf</w:t>
      </w:r>
      <w:r w:rsidRPr="003F171B">
        <w:rPr>
          <w:rFonts w:cs="Times New Roman"/>
        </w:rPr>
        <w:t>ü</w:t>
      </w:r>
      <w:r w:rsidRPr="003F171B">
        <w:rPr>
          <w:rFonts w:cs="Times New Roman"/>
        </w:rPr>
        <w:t>gungsverfahren Unterlassung verlangen. Die drohende Inanspruchnahme der Kaution reicht unabhängig von ihrer Höhe als Verfügung</w:t>
      </w:r>
      <w:r w:rsidRPr="003F171B">
        <w:rPr>
          <w:rFonts w:cs="Times New Roman"/>
        </w:rPr>
        <w:t>s</w:t>
      </w:r>
      <w:r>
        <w:rPr>
          <w:rFonts w:cs="Times New Roman"/>
        </w:rPr>
        <w:t>grund gemäß §§ </w:t>
      </w:r>
      <w:r w:rsidRPr="003F171B">
        <w:rPr>
          <w:rFonts w:cs="Times New Roman"/>
        </w:rPr>
        <w:t>935, 940 ZPO aus, selbst wenn vermieterseits ein konkretes Insolvenzr</w:t>
      </w:r>
      <w:r w:rsidRPr="003F171B">
        <w:rPr>
          <w:rFonts w:cs="Times New Roman"/>
        </w:rPr>
        <w:t>i</w:t>
      </w:r>
      <w:r>
        <w:rPr>
          <w:rFonts w:cs="Times New Roman"/>
        </w:rPr>
        <w:t>siko nicht besteht.</w:t>
      </w:r>
    </w:p>
    <w:p w:rsidR="003F171B" w:rsidRDefault="003F171B" w:rsidP="009A5D8D">
      <w:pPr>
        <w:pStyle w:val="KeinLeerraum"/>
        <w:rPr>
          <w:rFonts w:cs="Times New Roman"/>
        </w:rPr>
      </w:pPr>
    </w:p>
    <w:p w:rsidR="003F171B" w:rsidRDefault="003F171B" w:rsidP="009A5D8D">
      <w:pPr>
        <w:pStyle w:val="KeinLeerraum"/>
        <w:rPr>
          <w:rFonts w:cs="Times New Roman"/>
        </w:rPr>
      </w:pPr>
      <w:r w:rsidRPr="003F171B">
        <w:rPr>
          <w:rFonts w:cs="Times New Roman"/>
        </w:rPr>
        <w:t xml:space="preserve">Der </w:t>
      </w:r>
      <w:r w:rsidRPr="00107AE4">
        <w:rPr>
          <w:rFonts w:cs="Times New Roman"/>
          <w:b/>
        </w:rPr>
        <w:t>BGH</w:t>
      </w:r>
      <w:r w:rsidRPr="003F171B">
        <w:rPr>
          <w:rFonts w:cs="Times New Roman"/>
        </w:rPr>
        <w:t xml:space="preserve"> hat mit Urteil vom 14.11.2017 en</w:t>
      </w:r>
      <w:r w:rsidRPr="003F171B">
        <w:rPr>
          <w:rFonts w:cs="Times New Roman"/>
        </w:rPr>
        <w:t>t</w:t>
      </w:r>
      <w:r w:rsidRPr="003F171B">
        <w:rPr>
          <w:rFonts w:cs="Times New Roman"/>
        </w:rPr>
        <w:t>schieden, dass der Auftragnehmer grundsät</w:t>
      </w:r>
      <w:r w:rsidRPr="003F171B">
        <w:rPr>
          <w:rFonts w:cs="Times New Roman"/>
        </w:rPr>
        <w:t>z</w:t>
      </w:r>
      <w:r w:rsidRPr="003F171B">
        <w:rPr>
          <w:rFonts w:cs="Times New Roman"/>
        </w:rPr>
        <w:t>lich gemäß § 13 Nr. 1 VOB/B 2006 die Einha</w:t>
      </w:r>
      <w:r w:rsidRPr="003F171B">
        <w:rPr>
          <w:rFonts w:cs="Times New Roman"/>
        </w:rPr>
        <w:t>l</w:t>
      </w:r>
      <w:r w:rsidRPr="003F171B">
        <w:rPr>
          <w:rFonts w:cs="Times New Roman"/>
        </w:rPr>
        <w:t>tung der allgemein anerkannten Regeln der Technik zum Zeitpunkt der Abnahme schuldet. Dies gilt auch bei einer Änderung der allg</w:t>
      </w:r>
      <w:r w:rsidRPr="003F171B">
        <w:rPr>
          <w:rFonts w:cs="Times New Roman"/>
        </w:rPr>
        <w:t>e</w:t>
      </w:r>
      <w:r w:rsidRPr="003F171B">
        <w:rPr>
          <w:rFonts w:cs="Times New Roman"/>
        </w:rPr>
        <w:t>mein anerkannten Regeln der Technik zw</w:t>
      </w:r>
      <w:r w:rsidRPr="003F171B">
        <w:rPr>
          <w:rFonts w:cs="Times New Roman"/>
        </w:rPr>
        <w:t>i</w:t>
      </w:r>
      <w:r w:rsidRPr="003F171B">
        <w:rPr>
          <w:rFonts w:cs="Times New Roman"/>
        </w:rPr>
        <w:t>schen Vertragsabschluss und Abnahme. In einem solchen Fall hat der Auftragnehmer den Auftraggeber über die Änderung und die damit verbundenen Konsequenzen und Risiken für die Bauausführung zu informieren, es sei denn, diese sind dem Auftraggeber bekannt oder ergeben sich ohne Weiteres aus den umstehe</w:t>
      </w:r>
      <w:r w:rsidRPr="003F171B">
        <w:rPr>
          <w:rFonts w:cs="Times New Roman"/>
        </w:rPr>
        <w:t>n</w:t>
      </w:r>
      <w:r w:rsidRPr="003F171B">
        <w:rPr>
          <w:rFonts w:cs="Times New Roman"/>
        </w:rPr>
        <w:t xml:space="preserve">den. Der Auftraggeber hat sodann im Regelfall zwei </w:t>
      </w:r>
      <w:r>
        <w:rPr>
          <w:rFonts w:cs="Times New Roman"/>
        </w:rPr>
        <w:t>optionen</w:t>
      </w:r>
      <w:r w:rsidRPr="003F171B">
        <w:rPr>
          <w:rFonts w:cs="Times New Roman"/>
        </w:rPr>
        <w:t>. Er</w:t>
      </w:r>
      <w:r>
        <w:rPr>
          <w:rFonts w:cs="Times New Roman"/>
        </w:rPr>
        <w:t xml:space="preserve"> </w:t>
      </w:r>
      <w:r w:rsidRPr="003F171B">
        <w:rPr>
          <w:rFonts w:cs="Times New Roman"/>
        </w:rPr>
        <w:t>kann zum einen die Einha</w:t>
      </w:r>
      <w:r w:rsidRPr="003F171B">
        <w:rPr>
          <w:rFonts w:cs="Times New Roman"/>
        </w:rPr>
        <w:t>l</w:t>
      </w:r>
      <w:r w:rsidRPr="003F171B">
        <w:rPr>
          <w:rFonts w:cs="Times New Roman"/>
        </w:rPr>
        <w:t>tung der neuen Regeln der Technik verlang</w:t>
      </w:r>
      <w:r>
        <w:rPr>
          <w:rFonts w:cs="Times New Roman"/>
        </w:rPr>
        <w:t>en mit der Folge, dass ein aufwä</w:t>
      </w:r>
      <w:r w:rsidRPr="003F171B">
        <w:rPr>
          <w:rFonts w:cs="Times New Roman"/>
        </w:rPr>
        <w:t>ndige</w:t>
      </w:r>
      <w:r>
        <w:rPr>
          <w:rFonts w:cs="Times New Roman"/>
        </w:rPr>
        <w:t>re</w:t>
      </w:r>
      <w:r w:rsidRPr="003F171B">
        <w:rPr>
          <w:rFonts w:cs="Times New Roman"/>
        </w:rPr>
        <w:t>s Verfa</w:t>
      </w:r>
      <w:r w:rsidRPr="003F171B">
        <w:rPr>
          <w:rFonts w:cs="Times New Roman"/>
        </w:rPr>
        <w:t>h</w:t>
      </w:r>
      <w:r w:rsidRPr="003F171B">
        <w:rPr>
          <w:rFonts w:cs="Times New Roman"/>
        </w:rPr>
        <w:t>ren zur Herstellung erforderlich werden kann, als im Zeitpunkt des Vertragsabschlusses von den Parteien vorgesehen. Der Auftragnehmer kann, soweit hierfür nicht von der Vergütung</w:t>
      </w:r>
      <w:r w:rsidRPr="003F171B">
        <w:rPr>
          <w:rFonts w:cs="Times New Roman"/>
        </w:rPr>
        <w:t>s</w:t>
      </w:r>
      <w:r w:rsidRPr="003F171B">
        <w:rPr>
          <w:rFonts w:cs="Times New Roman"/>
        </w:rPr>
        <w:t>vereinbarung erfasste Leistungen erforderlich werden, im Regelfall eine Vergütungsanpa</w:t>
      </w:r>
      <w:r w:rsidRPr="003F171B">
        <w:rPr>
          <w:rFonts w:cs="Times New Roman"/>
        </w:rPr>
        <w:t>s</w:t>
      </w:r>
      <w:r w:rsidRPr="003F171B">
        <w:rPr>
          <w:rFonts w:cs="Times New Roman"/>
        </w:rPr>
        <w:t>sung nach § 1 Nr. 3 oder N</w:t>
      </w:r>
      <w:r>
        <w:rPr>
          <w:rFonts w:cs="Times New Roman"/>
        </w:rPr>
        <w:t xml:space="preserve">r. 4, § 2 Nr. 5 oder Nr. 6 VOB/B </w:t>
      </w:r>
      <w:r w:rsidRPr="003F171B">
        <w:rPr>
          <w:rFonts w:cs="Times New Roman"/>
        </w:rPr>
        <w:t>2006 verlangen. Der Auftragg</w:t>
      </w:r>
      <w:r w:rsidRPr="003F171B">
        <w:rPr>
          <w:rFonts w:cs="Times New Roman"/>
        </w:rPr>
        <w:t>e</w:t>
      </w:r>
      <w:r w:rsidRPr="003F171B">
        <w:rPr>
          <w:rFonts w:cs="Times New Roman"/>
        </w:rPr>
        <w:t>ber kann zum anderen von einer Einhaltung der neu</w:t>
      </w:r>
      <w:r>
        <w:rPr>
          <w:rFonts w:cs="Times New Roman"/>
        </w:rPr>
        <w:t>e</w:t>
      </w:r>
      <w:r w:rsidRPr="003F171B">
        <w:rPr>
          <w:rFonts w:cs="Times New Roman"/>
        </w:rPr>
        <w:t>n allgemein anerkannten Regeln der Technik und damit von einer etwaigen Verte</w:t>
      </w:r>
      <w:r w:rsidRPr="003F171B">
        <w:rPr>
          <w:rFonts w:cs="Times New Roman"/>
        </w:rPr>
        <w:t>u</w:t>
      </w:r>
      <w:r>
        <w:rPr>
          <w:rFonts w:cs="Times New Roman"/>
        </w:rPr>
        <w:t xml:space="preserve">erung des Bauvorhabens absehen. </w:t>
      </w:r>
    </w:p>
    <w:p w:rsidR="00107AE4" w:rsidRDefault="00107AE4" w:rsidP="009A5D8D">
      <w:pPr>
        <w:pStyle w:val="KeinLeerraum"/>
        <w:rPr>
          <w:rFonts w:cs="Times New Roman"/>
        </w:rPr>
      </w:pPr>
    </w:p>
    <w:p w:rsidR="009A5D8D" w:rsidRDefault="00107AE4" w:rsidP="009A5D8D">
      <w:pPr>
        <w:pStyle w:val="KeinLeerraum"/>
        <w:rPr>
          <w:rFonts w:cs="Times New Roman"/>
        </w:rPr>
      </w:pPr>
      <w:r w:rsidRPr="00107AE4">
        <w:rPr>
          <w:rFonts w:cs="Times New Roman"/>
        </w:rPr>
        <w:t xml:space="preserve">Der </w:t>
      </w:r>
      <w:r w:rsidRPr="00107AE4">
        <w:rPr>
          <w:rFonts w:cs="Times New Roman"/>
          <w:b/>
        </w:rPr>
        <w:t>BGH</w:t>
      </w:r>
      <w:r w:rsidRPr="00107AE4">
        <w:rPr>
          <w:rFonts w:cs="Times New Roman"/>
        </w:rPr>
        <w:t xml:space="preserve"> hat mit Beschluss vom 04.05.2018 entschieden, das Wohnungs- und Teileigent</w:t>
      </w:r>
      <w:r w:rsidRPr="00107AE4">
        <w:rPr>
          <w:rFonts w:cs="Times New Roman"/>
        </w:rPr>
        <w:t>ü</w:t>
      </w:r>
      <w:r w:rsidRPr="00107AE4">
        <w:rPr>
          <w:rFonts w:cs="Times New Roman"/>
        </w:rPr>
        <w:t>mer dazu verpflichtet sein können, Feuchti</w:t>
      </w:r>
      <w:r w:rsidRPr="00107AE4">
        <w:rPr>
          <w:rFonts w:cs="Times New Roman"/>
        </w:rPr>
        <w:t>g</w:t>
      </w:r>
      <w:r w:rsidRPr="00107AE4">
        <w:rPr>
          <w:rFonts w:cs="Times New Roman"/>
        </w:rPr>
        <w:t>keitsschäden im Bereich des gemeinschaftl</w:t>
      </w:r>
      <w:r w:rsidRPr="00107AE4">
        <w:rPr>
          <w:rFonts w:cs="Times New Roman"/>
        </w:rPr>
        <w:t>i</w:t>
      </w:r>
      <w:r w:rsidRPr="00107AE4">
        <w:rPr>
          <w:rFonts w:cs="Times New Roman"/>
        </w:rPr>
        <w:t>chen Eigentums sanieren zu lassen. Der BGH teilte mit, dass eine Sanierung ablehnende Entscheidungen der Eigentümerversammlung ersetzt werden müssen, wenn das gemei</w:t>
      </w:r>
      <w:r w:rsidRPr="00107AE4">
        <w:rPr>
          <w:rFonts w:cs="Times New Roman"/>
        </w:rPr>
        <w:t>n</w:t>
      </w:r>
      <w:r w:rsidRPr="00107AE4">
        <w:rPr>
          <w:rFonts w:cs="Times New Roman"/>
        </w:rPr>
        <w:t>schaftliche Eigentum gravierende bauliche Mängel aufweise, die die zweckentsprechende Nutzung von Wohnungs- oder Teileigentum</w:t>
      </w:r>
      <w:r w:rsidRPr="00107AE4">
        <w:rPr>
          <w:rFonts w:cs="Times New Roman"/>
        </w:rPr>
        <w:t>s</w:t>
      </w:r>
      <w:r w:rsidRPr="00107AE4">
        <w:rPr>
          <w:rFonts w:cs="Times New Roman"/>
        </w:rPr>
        <w:t>einheiten erheblich beeinträchtigen oder sogar ausschließen. Dann sei eine sofortige Instan</w:t>
      </w:r>
      <w:r w:rsidRPr="00107AE4">
        <w:rPr>
          <w:rFonts w:cs="Times New Roman"/>
        </w:rPr>
        <w:t>d</w:t>
      </w:r>
      <w:r w:rsidRPr="00107AE4">
        <w:rPr>
          <w:rFonts w:cs="Times New Roman"/>
        </w:rPr>
        <w:t xml:space="preserve">setzung zwingend erforderlich und einzelne </w:t>
      </w:r>
      <w:r w:rsidRPr="00107AE4">
        <w:rPr>
          <w:rFonts w:cs="Times New Roman"/>
        </w:rPr>
        <w:lastRenderedPageBreak/>
        <w:t xml:space="preserve">Wohnungseigentümer können die Sanierung gemäß § 21 Abs. 4 WEG verlangen. </w:t>
      </w: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r w:rsidRPr="00421B19">
        <w:rPr>
          <w:noProof/>
          <w:lang w:eastAsia="de-DE"/>
        </w:rPr>
        <mc:AlternateContent>
          <mc:Choice Requires="wps">
            <w:drawing>
              <wp:anchor distT="0" distB="0" distL="114300" distR="114300" simplePos="0" relativeHeight="251661312" behindDoc="0" locked="0" layoutInCell="1" allowOverlap="1" wp14:anchorId="28A554EE" wp14:editId="69B803A7">
                <wp:simplePos x="0" y="0"/>
                <wp:positionH relativeFrom="column">
                  <wp:posOffset>-62337</wp:posOffset>
                </wp:positionH>
                <wp:positionV relativeFrom="paragraph">
                  <wp:posOffset>120807</wp:posOffset>
                </wp:positionV>
                <wp:extent cx="2915178" cy="2137410"/>
                <wp:effectExtent l="0" t="0" r="19050" b="152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178" cy="2137410"/>
                        </a:xfrm>
                        <a:prstGeom prst="rect">
                          <a:avLst/>
                        </a:prstGeom>
                        <a:solidFill>
                          <a:srgbClr val="FFFFFF"/>
                        </a:solidFill>
                        <a:ln w="9525">
                          <a:solidFill>
                            <a:srgbClr val="000000"/>
                          </a:solidFill>
                          <a:miter lim="800000"/>
                          <a:headEnd/>
                          <a:tailEnd/>
                        </a:ln>
                      </wps:spPr>
                      <wps:txbx>
                        <w:txbxContent>
                          <w:p w:rsidR="009A5D8D" w:rsidRDefault="009A5D8D" w:rsidP="009A5D8D">
                            <w:pPr>
                              <w:spacing w:after="0" w:line="240" w:lineRule="auto"/>
                              <w:jc w:val="center"/>
                              <w:rPr>
                                <w:rFonts w:ascii="Copperplate33BC" w:hAnsi="Copperplate33BC"/>
                              </w:rPr>
                            </w:pPr>
                            <w:r>
                              <w:rPr>
                                <w:rFonts w:ascii="Copperplate33BC" w:hAnsi="Copperplate33BC"/>
                              </w:rPr>
                              <w:t>Luithlen  &amp;  v. Stackelberg</w:t>
                            </w:r>
                          </w:p>
                          <w:p w:rsidR="009A5D8D" w:rsidRPr="00C56C01" w:rsidRDefault="009A5D8D" w:rsidP="009A5D8D">
                            <w:pPr>
                              <w:spacing w:after="0" w:line="240" w:lineRule="auto"/>
                              <w:jc w:val="center"/>
                              <w:rPr>
                                <w:rFonts w:ascii="Copperplate32BC" w:hAnsi="Copperplate32BC"/>
                                <w:sz w:val="20"/>
                              </w:rPr>
                            </w:pPr>
                            <w:r w:rsidRPr="00C56C01">
                              <w:rPr>
                                <w:rFonts w:ascii="Copperplate32BC" w:hAnsi="Copperplate32BC"/>
                                <w:sz w:val="20"/>
                              </w:rPr>
                              <w:t>Rechtsanwälte</w:t>
                            </w:r>
                          </w:p>
                          <w:p w:rsidR="009A5D8D" w:rsidRPr="00C56C01" w:rsidRDefault="009A5D8D" w:rsidP="009A5D8D">
                            <w:pPr>
                              <w:spacing w:after="0" w:line="240" w:lineRule="auto"/>
                              <w:rPr>
                                <w:rFonts w:ascii="Copperplate32BC" w:hAnsi="Copperplate32BC"/>
                                <w:sz w:val="16"/>
                              </w:rPr>
                            </w:pPr>
                          </w:p>
                          <w:p w:rsidR="009A5D8D" w:rsidRDefault="009A5D8D" w:rsidP="009A5D8D">
                            <w:pPr>
                              <w:spacing w:after="0" w:line="120" w:lineRule="exact"/>
                              <w:rPr>
                                <w:rFonts w:ascii="Copperplate32BC" w:hAnsi="Copperplate32BC"/>
                                <w:sz w:val="16"/>
                              </w:rPr>
                            </w:pPr>
                            <w:r w:rsidRPr="00C56C01">
                              <w:rPr>
                                <w:rFonts w:ascii="Copperplate32BC" w:hAnsi="Copperplate32BC"/>
                                <w:sz w:val="16"/>
                              </w:rPr>
                              <w:t>Dr. Jens Becker Platen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Sozialrecht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Michaela Schmidt-Eberth</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 xml:space="preserve">Rechtsanwältin, Fachanwältin für </w:t>
                            </w:r>
                            <w:r>
                              <w:rPr>
                                <w:rFonts w:cs="Times New Roman"/>
                                <w:sz w:val="12"/>
                              </w:rPr>
                              <w:t>Familien- und Strafrecht</w:t>
                            </w:r>
                            <w:r w:rsidRPr="00C56C01">
                              <w:rPr>
                                <w:rFonts w:cs="Times New Roman"/>
                                <w:sz w:val="12"/>
                              </w:rPr>
                              <w:t>, Mediatorin</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 Hopp</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Erbrecht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Heinrich Frhr. v. Stackelberg</w:t>
                            </w:r>
                          </w:p>
                          <w:p w:rsidR="009A5D8D" w:rsidRDefault="009A5D8D" w:rsidP="009A5D8D">
                            <w:pPr>
                              <w:spacing w:after="0" w:line="120" w:lineRule="exact"/>
                              <w:rPr>
                                <w:rFonts w:cs="Times New Roman"/>
                                <w:sz w:val="12"/>
                              </w:rPr>
                            </w:pPr>
                            <w:r>
                              <w:rPr>
                                <w:rFonts w:cs="Times New Roman"/>
                                <w:sz w:val="12"/>
                              </w:rPr>
                              <w:t xml:space="preserve">        Rechtsanwalt,</w:t>
                            </w:r>
                          </w:p>
                          <w:p w:rsidR="009A5D8D" w:rsidRPr="00745155" w:rsidRDefault="009A5D8D" w:rsidP="009A5D8D">
                            <w:pPr>
                              <w:spacing w:after="0" w:line="120" w:lineRule="exact"/>
                              <w:rPr>
                                <w:rFonts w:cs="Times New Roman"/>
                                <w:sz w:val="6"/>
                              </w:rPr>
                            </w:pPr>
                          </w:p>
                          <w:p w:rsidR="009A5D8D" w:rsidRDefault="009A5D8D" w:rsidP="009A5D8D">
                            <w:pPr>
                              <w:spacing w:after="0" w:line="120" w:lineRule="exact"/>
                              <w:rPr>
                                <w:rFonts w:ascii="Copperplate32BC" w:hAnsi="Copperplate32BC"/>
                              </w:rPr>
                            </w:pPr>
                            <w:r w:rsidRPr="00C56C01">
                              <w:rPr>
                                <w:rFonts w:ascii="Copperplate32BC" w:hAnsi="Copperplate32BC"/>
                                <w:sz w:val="16"/>
                              </w:rPr>
                              <w:t>Thomas Luithlen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w:t>
                            </w:r>
                          </w:p>
                          <w:p w:rsidR="009A5D8D" w:rsidRPr="00745155" w:rsidRDefault="009A5D8D" w:rsidP="009A5D8D">
                            <w:pPr>
                              <w:spacing w:after="0" w:line="240" w:lineRule="auto"/>
                              <w:rPr>
                                <w:rFonts w:ascii="Copperplate32BC" w:hAnsi="Copperplate32BC"/>
                                <w:sz w:val="14"/>
                              </w:rPr>
                            </w:pP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Geretsried</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9pt;margin-top:9.5pt;width:229.55pt;height:16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">
                <v:textbox>
                  <w:txbxContent>
                    <w:p w:rsidR="009A5D8D" w:rsidRDefault="009A5D8D" w:rsidP="009A5D8D">
                      <w:pPr>
                        <w:spacing w:after="0" w:line="240" w:lineRule="auto"/>
                        <w:jc w:val="center"/>
                        <w:rPr>
                          <w:rFonts w:ascii="Copperplate33BC" w:hAnsi="Copperplate33BC"/>
                        </w:rPr>
                      </w:pPr>
                      <w:r>
                        <w:rPr>
                          <w:rFonts w:ascii="Copperplate33BC" w:hAnsi="Copperplate33BC"/>
                        </w:rPr>
                        <w:t>Luithlen  &amp;  v. St</w:t>
                      </w:r>
                      <w:r>
                        <w:rPr>
                          <w:rFonts w:ascii="Copperplate33BC" w:hAnsi="Copperplate33BC"/>
                        </w:rPr>
                        <w:t>a</w:t>
                      </w:r>
                      <w:r>
                        <w:rPr>
                          <w:rFonts w:ascii="Copperplate33BC" w:hAnsi="Copperplate33BC"/>
                        </w:rPr>
                        <w:t>ckelberg</w:t>
                      </w:r>
                    </w:p>
                    <w:p w:rsidR="009A5D8D" w:rsidRPr="00C56C01" w:rsidRDefault="009A5D8D" w:rsidP="009A5D8D">
                      <w:pPr>
                        <w:spacing w:after="0" w:line="240" w:lineRule="auto"/>
                        <w:jc w:val="center"/>
                        <w:rPr>
                          <w:rFonts w:ascii="Copperplate32BC" w:hAnsi="Copperplate32BC"/>
                          <w:sz w:val="20"/>
                        </w:rPr>
                      </w:pPr>
                      <w:r w:rsidRPr="00C56C01">
                        <w:rPr>
                          <w:rFonts w:ascii="Copperplate32BC" w:hAnsi="Copperplate32BC"/>
                          <w:sz w:val="20"/>
                        </w:rPr>
                        <w:t>Rechtsanwä</w:t>
                      </w:r>
                      <w:r w:rsidRPr="00C56C01">
                        <w:rPr>
                          <w:rFonts w:ascii="Copperplate32BC" w:hAnsi="Copperplate32BC"/>
                          <w:sz w:val="20"/>
                        </w:rPr>
                        <w:t>l</w:t>
                      </w:r>
                      <w:r w:rsidRPr="00C56C01">
                        <w:rPr>
                          <w:rFonts w:ascii="Copperplate32BC" w:hAnsi="Copperplate32BC"/>
                          <w:sz w:val="20"/>
                        </w:rPr>
                        <w:t>te</w:t>
                      </w:r>
                    </w:p>
                    <w:p w:rsidR="009A5D8D" w:rsidRPr="00C56C01" w:rsidRDefault="009A5D8D" w:rsidP="009A5D8D">
                      <w:pPr>
                        <w:spacing w:after="0" w:line="240" w:lineRule="auto"/>
                        <w:rPr>
                          <w:rFonts w:ascii="Copperplate32BC" w:hAnsi="Copperplate32BC"/>
                          <w:sz w:val="16"/>
                        </w:rPr>
                      </w:pPr>
                    </w:p>
                    <w:p w:rsidR="009A5D8D" w:rsidRDefault="009A5D8D" w:rsidP="009A5D8D">
                      <w:pPr>
                        <w:spacing w:after="0" w:line="120" w:lineRule="exact"/>
                        <w:rPr>
                          <w:rFonts w:ascii="Copperplate32BC" w:hAnsi="Copperplate32BC"/>
                          <w:sz w:val="16"/>
                        </w:rPr>
                      </w:pPr>
                      <w:r w:rsidRPr="00C56C01">
                        <w:rPr>
                          <w:rFonts w:ascii="Copperplate32BC" w:hAnsi="Copperplate32BC"/>
                          <w:sz w:val="16"/>
                        </w:rPr>
                        <w:t>Dr. Jens B</w:t>
                      </w:r>
                      <w:r w:rsidRPr="00C56C01">
                        <w:rPr>
                          <w:rFonts w:ascii="Copperplate32BC" w:hAnsi="Copperplate32BC"/>
                          <w:sz w:val="16"/>
                        </w:rPr>
                        <w:t>e</w:t>
                      </w:r>
                      <w:r w:rsidRPr="00C56C01">
                        <w:rPr>
                          <w:rFonts w:ascii="Copperplate32BC" w:hAnsi="Copperplate32BC"/>
                          <w:sz w:val="16"/>
                        </w:rPr>
                        <w:t>cker Platen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w:t>
                      </w:r>
                      <w:r w:rsidRPr="00C56C01">
                        <w:rPr>
                          <w:rFonts w:cs="Times New Roman"/>
                          <w:sz w:val="12"/>
                        </w:rPr>
                        <w:t>n</w:t>
                      </w:r>
                      <w:r w:rsidRPr="00C56C01">
                        <w:rPr>
                          <w:rFonts w:cs="Times New Roman"/>
                          <w:sz w:val="12"/>
                        </w:rPr>
                        <w:t>walt, Fachanwalt für Sozialrecht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w:t>
                      </w:r>
                      <w:r w:rsidRPr="00C56C01">
                        <w:rPr>
                          <w:rFonts w:ascii="Copperplate32BC" w:hAnsi="Copperplate32BC"/>
                          <w:sz w:val="16"/>
                        </w:rPr>
                        <w:t>a</w:t>
                      </w:r>
                      <w:r w:rsidRPr="00C56C01">
                        <w:rPr>
                          <w:rFonts w:ascii="Copperplate32BC" w:hAnsi="Copperplate32BC"/>
                          <w:sz w:val="16"/>
                        </w:rPr>
                        <w:t>ela Schmidt-Eberth</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Rechtsanwältin, Fachanwä</w:t>
                      </w:r>
                      <w:r w:rsidRPr="00C56C01">
                        <w:rPr>
                          <w:rFonts w:cs="Times New Roman"/>
                          <w:sz w:val="12"/>
                        </w:rPr>
                        <w:t>l</w:t>
                      </w:r>
                      <w:r w:rsidRPr="00C56C01">
                        <w:rPr>
                          <w:rFonts w:cs="Times New Roman"/>
                          <w:sz w:val="12"/>
                        </w:rPr>
                        <w:t xml:space="preserve">tin für </w:t>
                      </w:r>
                      <w:r>
                        <w:rPr>
                          <w:rFonts w:cs="Times New Roman"/>
                          <w:sz w:val="12"/>
                        </w:rPr>
                        <w:t>Familien- und Strafrecht</w:t>
                      </w:r>
                      <w:r w:rsidRPr="00C56C01">
                        <w:rPr>
                          <w:rFonts w:cs="Times New Roman"/>
                          <w:sz w:val="12"/>
                        </w:rPr>
                        <w:t>, Mediatorin</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w:t>
                      </w:r>
                      <w:r w:rsidRPr="00C56C01">
                        <w:rPr>
                          <w:rFonts w:ascii="Copperplate32BC" w:hAnsi="Copperplate32BC"/>
                          <w:sz w:val="16"/>
                        </w:rPr>
                        <w:t>a</w:t>
                      </w:r>
                      <w:r w:rsidRPr="00C56C01">
                        <w:rPr>
                          <w:rFonts w:ascii="Copperplate32BC" w:hAnsi="Copperplate32BC"/>
                          <w:sz w:val="16"/>
                        </w:rPr>
                        <w:t>el Hopp</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w:t>
                      </w:r>
                      <w:r w:rsidRPr="00C56C01">
                        <w:rPr>
                          <w:rFonts w:cs="Times New Roman"/>
                          <w:sz w:val="12"/>
                        </w:rPr>
                        <w:t>n</w:t>
                      </w:r>
                      <w:r w:rsidRPr="00C56C01">
                        <w:rPr>
                          <w:rFonts w:cs="Times New Roman"/>
                          <w:sz w:val="12"/>
                        </w:rPr>
                        <w:t>walt, Fachanwalt für Erbrecht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Heinrich Frhr. v. Stacke</w:t>
                      </w:r>
                      <w:r w:rsidRPr="00C56C01">
                        <w:rPr>
                          <w:rFonts w:ascii="Copperplate32BC" w:hAnsi="Copperplate32BC"/>
                          <w:sz w:val="16"/>
                        </w:rPr>
                        <w:t>l</w:t>
                      </w:r>
                      <w:r w:rsidRPr="00C56C01">
                        <w:rPr>
                          <w:rFonts w:ascii="Copperplate32BC" w:hAnsi="Copperplate32BC"/>
                          <w:sz w:val="16"/>
                        </w:rPr>
                        <w:t>berg</w:t>
                      </w:r>
                    </w:p>
                    <w:p w:rsidR="009A5D8D" w:rsidRDefault="009A5D8D" w:rsidP="009A5D8D">
                      <w:pPr>
                        <w:spacing w:after="0" w:line="120" w:lineRule="exact"/>
                        <w:rPr>
                          <w:rFonts w:cs="Times New Roman"/>
                          <w:sz w:val="12"/>
                        </w:rPr>
                      </w:pPr>
                      <w:r>
                        <w:rPr>
                          <w:rFonts w:cs="Times New Roman"/>
                          <w:sz w:val="12"/>
                        </w:rPr>
                        <w:t xml:space="preserve">        Rechtsa</w:t>
                      </w:r>
                      <w:r>
                        <w:rPr>
                          <w:rFonts w:cs="Times New Roman"/>
                          <w:sz w:val="12"/>
                        </w:rPr>
                        <w:t>n</w:t>
                      </w:r>
                      <w:r>
                        <w:rPr>
                          <w:rFonts w:cs="Times New Roman"/>
                          <w:sz w:val="12"/>
                        </w:rPr>
                        <w:t>walt,</w:t>
                      </w:r>
                    </w:p>
                    <w:p w:rsidR="009A5D8D" w:rsidRPr="00745155" w:rsidRDefault="009A5D8D" w:rsidP="009A5D8D">
                      <w:pPr>
                        <w:spacing w:after="0" w:line="120" w:lineRule="exact"/>
                        <w:rPr>
                          <w:rFonts w:cs="Times New Roman"/>
                          <w:sz w:val="6"/>
                        </w:rPr>
                      </w:pPr>
                    </w:p>
                    <w:p w:rsidR="009A5D8D" w:rsidRDefault="009A5D8D" w:rsidP="009A5D8D">
                      <w:pPr>
                        <w:spacing w:after="0" w:line="120" w:lineRule="exact"/>
                        <w:rPr>
                          <w:rFonts w:ascii="Copperplate32BC" w:hAnsi="Copperplate32BC"/>
                        </w:rPr>
                      </w:pPr>
                      <w:r w:rsidRPr="00C56C01">
                        <w:rPr>
                          <w:rFonts w:ascii="Copperplate32BC" w:hAnsi="Copperplate32BC"/>
                          <w:sz w:val="16"/>
                        </w:rPr>
                        <w:t>Thomas L</w:t>
                      </w:r>
                      <w:r w:rsidRPr="00C56C01">
                        <w:rPr>
                          <w:rFonts w:ascii="Copperplate32BC" w:hAnsi="Copperplate32BC"/>
                          <w:sz w:val="16"/>
                        </w:rPr>
                        <w:t>u</w:t>
                      </w:r>
                      <w:r w:rsidRPr="00C56C01">
                        <w:rPr>
                          <w:rFonts w:ascii="Copperplate32BC" w:hAnsi="Copperplate32BC"/>
                          <w:sz w:val="16"/>
                        </w:rPr>
                        <w:t>ithlen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w:t>
                      </w:r>
                      <w:r w:rsidRPr="00C56C01">
                        <w:rPr>
                          <w:rFonts w:cs="Times New Roman"/>
                          <w:sz w:val="12"/>
                        </w:rPr>
                        <w:t>n</w:t>
                      </w:r>
                      <w:r w:rsidRPr="00C56C01">
                        <w:rPr>
                          <w:rFonts w:cs="Times New Roman"/>
                          <w:sz w:val="12"/>
                        </w:rPr>
                        <w:t>walt</w:t>
                      </w:r>
                    </w:p>
                    <w:p w:rsidR="009A5D8D" w:rsidRPr="00745155" w:rsidRDefault="009A5D8D" w:rsidP="009A5D8D">
                      <w:pPr>
                        <w:spacing w:after="0" w:line="240" w:lineRule="auto"/>
                        <w:rPr>
                          <w:rFonts w:ascii="Copperplate32BC" w:hAnsi="Copperplate32BC"/>
                          <w:sz w:val="14"/>
                        </w:rPr>
                      </w:pP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w:t>
                      </w:r>
                      <w:r w:rsidRPr="00C56C01">
                        <w:rPr>
                          <w:rFonts w:ascii="Copperplate32BC" w:hAnsi="Copperplate32BC"/>
                          <w:sz w:val="16"/>
                        </w:rPr>
                        <w:t>s</w:t>
                      </w:r>
                      <w:r w:rsidRPr="00C56C01">
                        <w:rPr>
                          <w:rFonts w:ascii="Copperplate32BC" w:hAnsi="Copperplate32BC"/>
                          <w:sz w:val="16"/>
                        </w:rPr>
                        <w:t>ried</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www.luithlen-stacke</w:t>
                      </w:r>
                      <w:r w:rsidRPr="00C56C01">
                        <w:rPr>
                          <w:rFonts w:ascii="Copperplate32BC" w:hAnsi="Copperplate32BC"/>
                          <w:sz w:val="16"/>
                        </w:rPr>
                        <w:t>l</w:t>
                      </w:r>
                      <w:r w:rsidRPr="00C56C01">
                        <w:rPr>
                          <w:rFonts w:ascii="Copperplate32BC" w:hAnsi="Copperplate32BC"/>
                          <w:sz w:val="16"/>
                        </w:rPr>
                        <w:t>berg.de</w:t>
                      </w:r>
                    </w:p>
                  </w:txbxContent>
                </v:textbox>
              </v:shape>
            </w:pict>
          </mc:Fallback>
        </mc:AlternateContent>
      </w: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p>
    <w:sectPr w:rsidR="00107AE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23589"/>
    <w:rsid w:val="00030C57"/>
    <w:rsid w:val="00037A29"/>
    <w:rsid w:val="0005639D"/>
    <w:rsid w:val="0005726D"/>
    <w:rsid w:val="0006423F"/>
    <w:rsid w:val="000669C3"/>
    <w:rsid w:val="000874D5"/>
    <w:rsid w:val="00093902"/>
    <w:rsid w:val="000A7DE0"/>
    <w:rsid w:val="000C477F"/>
    <w:rsid w:val="000C6C0A"/>
    <w:rsid w:val="000E41B8"/>
    <w:rsid w:val="000F1727"/>
    <w:rsid w:val="00101E98"/>
    <w:rsid w:val="00107AE4"/>
    <w:rsid w:val="00111066"/>
    <w:rsid w:val="0011246D"/>
    <w:rsid w:val="00124835"/>
    <w:rsid w:val="00134C7F"/>
    <w:rsid w:val="001375AE"/>
    <w:rsid w:val="001745A0"/>
    <w:rsid w:val="00175CBB"/>
    <w:rsid w:val="001815DE"/>
    <w:rsid w:val="001A57EF"/>
    <w:rsid w:val="001B2F23"/>
    <w:rsid w:val="001B6576"/>
    <w:rsid w:val="001C1780"/>
    <w:rsid w:val="001E1622"/>
    <w:rsid w:val="001E5925"/>
    <w:rsid w:val="002004DE"/>
    <w:rsid w:val="00201A3E"/>
    <w:rsid w:val="002134DA"/>
    <w:rsid w:val="0022361D"/>
    <w:rsid w:val="00230551"/>
    <w:rsid w:val="00232F4F"/>
    <w:rsid w:val="002370DE"/>
    <w:rsid w:val="00264863"/>
    <w:rsid w:val="00265A05"/>
    <w:rsid w:val="00271141"/>
    <w:rsid w:val="00294681"/>
    <w:rsid w:val="002A7469"/>
    <w:rsid w:val="002A7A9D"/>
    <w:rsid w:val="002B4C94"/>
    <w:rsid w:val="002E0B91"/>
    <w:rsid w:val="003001E5"/>
    <w:rsid w:val="00301F0E"/>
    <w:rsid w:val="0030310E"/>
    <w:rsid w:val="00310591"/>
    <w:rsid w:val="00311678"/>
    <w:rsid w:val="003137BB"/>
    <w:rsid w:val="00314880"/>
    <w:rsid w:val="0032057B"/>
    <w:rsid w:val="0032308D"/>
    <w:rsid w:val="003278EC"/>
    <w:rsid w:val="00327D32"/>
    <w:rsid w:val="00336775"/>
    <w:rsid w:val="003522CD"/>
    <w:rsid w:val="0035647B"/>
    <w:rsid w:val="00360D25"/>
    <w:rsid w:val="00376F02"/>
    <w:rsid w:val="003805D4"/>
    <w:rsid w:val="00385F93"/>
    <w:rsid w:val="00386426"/>
    <w:rsid w:val="003A3D51"/>
    <w:rsid w:val="003A4136"/>
    <w:rsid w:val="003B252E"/>
    <w:rsid w:val="003B5986"/>
    <w:rsid w:val="003D006E"/>
    <w:rsid w:val="003D22CC"/>
    <w:rsid w:val="003D7858"/>
    <w:rsid w:val="003E1559"/>
    <w:rsid w:val="003E59C5"/>
    <w:rsid w:val="003F171B"/>
    <w:rsid w:val="003F79AF"/>
    <w:rsid w:val="004048FD"/>
    <w:rsid w:val="00421B19"/>
    <w:rsid w:val="00452DD5"/>
    <w:rsid w:val="00463FF8"/>
    <w:rsid w:val="004643D5"/>
    <w:rsid w:val="00466682"/>
    <w:rsid w:val="00475064"/>
    <w:rsid w:val="004853B0"/>
    <w:rsid w:val="00493550"/>
    <w:rsid w:val="004B2D14"/>
    <w:rsid w:val="004C6668"/>
    <w:rsid w:val="004E212C"/>
    <w:rsid w:val="004E2E95"/>
    <w:rsid w:val="004E5B6E"/>
    <w:rsid w:val="004F041F"/>
    <w:rsid w:val="004F0F1C"/>
    <w:rsid w:val="00504CA6"/>
    <w:rsid w:val="005226BB"/>
    <w:rsid w:val="00545294"/>
    <w:rsid w:val="00551ADB"/>
    <w:rsid w:val="00552B5C"/>
    <w:rsid w:val="00566C7E"/>
    <w:rsid w:val="005779EB"/>
    <w:rsid w:val="00577F14"/>
    <w:rsid w:val="0058003F"/>
    <w:rsid w:val="0058014E"/>
    <w:rsid w:val="00582153"/>
    <w:rsid w:val="005927E9"/>
    <w:rsid w:val="0059626E"/>
    <w:rsid w:val="005B71F4"/>
    <w:rsid w:val="005C553D"/>
    <w:rsid w:val="005D13B1"/>
    <w:rsid w:val="00605856"/>
    <w:rsid w:val="006361D2"/>
    <w:rsid w:val="00680628"/>
    <w:rsid w:val="006866D5"/>
    <w:rsid w:val="0069034D"/>
    <w:rsid w:val="006925CB"/>
    <w:rsid w:val="006C7730"/>
    <w:rsid w:val="006D5A1E"/>
    <w:rsid w:val="0075664B"/>
    <w:rsid w:val="00761A87"/>
    <w:rsid w:val="00763C22"/>
    <w:rsid w:val="0076545E"/>
    <w:rsid w:val="00770CD4"/>
    <w:rsid w:val="00776757"/>
    <w:rsid w:val="00776EB2"/>
    <w:rsid w:val="0078104E"/>
    <w:rsid w:val="007858A6"/>
    <w:rsid w:val="007961AB"/>
    <w:rsid w:val="007A21D0"/>
    <w:rsid w:val="007B1699"/>
    <w:rsid w:val="007B4EB6"/>
    <w:rsid w:val="007C7215"/>
    <w:rsid w:val="007D3142"/>
    <w:rsid w:val="007D431F"/>
    <w:rsid w:val="007E1245"/>
    <w:rsid w:val="007E4EC5"/>
    <w:rsid w:val="007E7331"/>
    <w:rsid w:val="007F1514"/>
    <w:rsid w:val="007F1946"/>
    <w:rsid w:val="007F20B5"/>
    <w:rsid w:val="007F27F9"/>
    <w:rsid w:val="00807875"/>
    <w:rsid w:val="00816624"/>
    <w:rsid w:val="0082772A"/>
    <w:rsid w:val="008420B0"/>
    <w:rsid w:val="008464B3"/>
    <w:rsid w:val="008648B0"/>
    <w:rsid w:val="008802A9"/>
    <w:rsid w:val="00885A97"/>
    <w:rsid w:val="00890A5D"/>
    <w:rsid w:val="008A1505"/>
    <w:rsid w:val="008A25EE"/>
    <w:rsid w:val="008E1688"/>
    <w:rsid w:val="008F6FB7"/>
    <w:rsid w:val="00907E5D"/>
    <w:rsid w:val="009360D0"/>
    <w:rsid w:val="00941952"/>
    <w:rsid w:val="00942C61"/>
    <w:rsid w:val="00946D50"/>
    <w:rsid w:val="009578BB"/>
    <w:rsid w:val="00970543"/>
    <w:rsid w:val="00983E19"/>
    <w:rsid w:val="009925EF"/>
    <w:rsid w:val="00994BA8"/>
    <w:rsid w:val="00995261"/>
    <w:rsid w:val="00996E43"/>
    <w:rsid w:val="009A334A"/>
    <w:rsid w:val="009A5D8D"/>
    <w:rsid w:val="009C21B2"/>
    <w:rsid w:val="009C59AB"/>
    <w:rsid w:val="009D717F"/>
    <w:rsid w:val="009E3F68"/>
    <w:rsid w:val="00A01125"/>
    <w:rsid w:val="00A233C0"/>
    <w:rsid w:val="00A266BF"/>
    <w:rsid w:val="00A4659F"/>
    <w:rsid w:val="00A563F1"/>
    <w:rsid w:val="00A66F4F"/>
    <w:rsid w:val="00A70069"/>
    <w:rsid w:val="00A81434"/>
    <w:rsid w:val="00AA3329"/>
    <w:rsid w:val="00AD00D9"/>
    <w:rsid w:val="00AF57D7"/>
    <w:rsid w:val="00AF6168"/>
    <w:rsid w:val="00AF6CAB"/>
    <w:rsid w:val="00B0503C"/>
    <w:rsid w:val="00B053D4"/>
    <w:rsid w:val="00B13894"/>
    <w:rsid w:val="00B30D91"/>
    <w:rsid w:val="00B3690C"/>
    <w:rsid w:val="00B36A2F"/>
    <w:rsid w:val="00B40FB0"/>
    <w:rsid w:val="00B41385"/>
    <w:rsid w:val="00B42ABB"/>
    <w:rsid w:val="00B43FC1"/>
    <w:rsid w:val="00B500FC"/>
    <w:rsid w:val="00B673DC"/>
    <w:rsid w:val="00B80D2C"/>
    <w:rsid w:val="00B91F93"/>
    <w:rsid w:val="00B97642"/>
    <w:rsid w:val="00BE7524"/>
    <w:rsid w:val="00C00761"/>
    <w:rsid w:val="00C162CD"/>
    <w:rsid w:val="00C25EE4"/>
    <w:rsid w:val="00C41029"/>
    <w:rsid w:val="00C446AF"/>
    <w:rsid w:val="00C548FB"/>
    <w:rsid w:val="00C63C81"/>
    <w:rsid w:val="00C66441"/>
    <w:rsid w:val="00C7662F"/>
    <w:rsid w:val="00C76FBB"/>
    <w:rsid w:val="00C800F2"/>
    <w:rsid w:val="00C80531"/>
    <w:rsid w:val="00C817AB"/>
    <w:rsid w:val="00C81F09"/>
    <w:rsid w:val="00C97136"/>
    <w:rsid w:val="00CC3018"/>
    <w:rsid w:val="00CD0574"/>
    <w:rsid w:val="00CD42C9"/>
    <w:rsid w:val="00CE262C"/>
    <w:rsid w:val="00D30BBD"/>
    <w:rsid w:val="00D30D81"/>
    <w:rsid w:val="00D3799D"/>
    <w:rsid w:val="00D40A7E"/>
    <w:rsid w:val="00D40B3C"/>
    <w:rsid w:val="00D60B51"/>
    <w:rsid w:val="00D7215A"/>
    <w:rsid w:val="00D7229F"/>
    <w:rsid w:val="00D735C6"/>
    <w:rsid w:val="00D85E19"/>
    <w:rsid w:val="00D92A77"/>
    <w:rsid w:val="00DC281D"/>
    <w:rsid w:val="00DD28CA"/>
    <w:rsid w:val="00DD404C"/>
    <w:rsid w:val="00DE0FD1"/>
    <w:rsid w:val="00DE4F90"/>
    <w:rsid w:val="00DF083C"/>
    <w:rsid w:val="00E02823"/>
    <w:rsid w:val="00E13739"/>
    <w:rsid w:val="00E147D7"/>
    <w:rsid w:val="00E1738B"/>
    <w:rsid w:val="00E60FAD"/>
    <w:rsid w:val="00E71BCE"/>
    <w:rsid w:val="00E76E26"/>
    <w:rsid w:val="00E77BB9"/>
    <w:rsid w:val="00E80B6B"/>
    <w:rsid w:val="00EB704E"/>
    <w:rsid w:val="00EC07D9"/>
    <w:rsid w:val="00EC6CAD"/>
    <w:rsid w:val="00ED0750"/>
    <w:rsid w:val="00ED1241"/>
    <w:rsid w:val="00EE3699"/>
    <w:rsid w:val="00EF65E1"/>
    <w:rsid w:val="00F03078"/>
    <w:rsid w:val="00F04D44"/>
    <w:rsid w:val="00F123E9"/>
    <w:rsid w:val="00F2170D"/>
    <w:rsid w:val="00F55819"/>
    <w:rsid w:val="00F61F47"/>
    <w:rsid w:val="00F83B09"/>
    <w:rsid w:val="00F85A4C"/>
    <w:rsid w:val="00F95FDC"/>
    <w:rsid w:val="00FB5FDB"/>
    <w:rsid w:val="00FB7E93"/>
    <w:rsid w:val="00FD6989"/>
    <w:rsid w:val="00FE0107"/>
    <w:rsid w:val="00FE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4195becc-1f8e-4cbe-98e1-c16c555fefb8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DA07-9D8F-4BB5-9A49-D7417F5AB521}">
  <ds:schemaRefs>
    <ds:schemaRef ds:uri="http://www.datev.de/BSOffice/999929"/>
  </ds:schemaRefs>
</ds:datastoreItem>
</file>

<file path=customXml/itemProps2.xml><?xml version="1.0" encoding="utf-8"?>
<ds:datastoreItem xmlns:ds="http://schemas.openxmlformats.org/officeDocument/2006/customXml" ds:itemID="{1B048319-EEEF-4DB0-AE24-63C5BDB8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5664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9</cp:revision>
  <cp:lastPrinted>2013-12-05T15:57:00Z</cp:lastPrinted>
  <dcterms:created xsi:type="dcterms:W3CDTF">2018-04-26T12:30:00Z</dcterms:created>
  <dcterms:modified xsi:type="dcterms:W3CDTF">2018-06-01T10:22:00Z</dcterms:modified>
</cp:coreProperties>
</file>