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5A0" w:rsidRDefault="001745A0" w:rsidP="006D5A1E">
      <w:pPr>
        <w:pStyle w:val="KeinLeerraum"/>
      </w:pPr>
      <w:r w:rsidRPr="00421B19">
        <w:rPr>
          <w:noProof/>
          <w:lang w:eastAsia="de-DE"/>
        </w:rPr>
        <mc:AlternateContent>
          <mc:Choice Requires="wps">
            <w:drawing>
              <wp:anchor distT="0" distB="0" distL="114300" distR="114300" simplePos="0" relativeHeight="251659264" behindDoc="0" locked="0" layoutInCell="1" allowOverlap="1" wp14:anchorId="3159C8FE" wp14:editId="5C80751D">
                <wp:simplePos x="0" y="0"/>
                <wp:positionH relativeFrom="column">
                  <wp:posOffset>-57150</wp:posOffset>
                </wp:positionH>
                <wp:positionV relativeFrom="paragraph">
                  <wp:posOffset>-135255</wp:posOffset>
                </wp:positionV>
                <wp:extent cx="2604770" cy="752475"/>
                <wp:effectExtent l="0" t="0" r="24130"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52475"/>
                        </a:xfrm>
                        <a:prstGeom prst="rect">
                          <a:avLst/>
                        </a:prstGeom>
                        <a:solidFill>
                          <a:srgbClr val="FFFFFF"/>
                        </a:solidFill>
                        <a:ln w="9525">
                          <a:solidFill>
                            <a:srgbClr val="000000"/>
                          </a:solidFill>
                          <a:miter lim="800000"/>
                          <a:headEnd/>
                          <a:tailEnd/>
                        </a:ln>
                      </wps:spPr>
                      <wps:txbx>
                        <w:txbxContent>
                          <w:p w:rsidR="00BE7524" w:rsidRDefault="00BE7524" w:rsidP="00BE7524">
                            <w:pPr>
                              <w:spacing w:after="0" w:line="240" w:lineRule="auto"/>
                              <w:jc w:val="center"/>
                              <w:rPr>
                                <w:b/>
                                <w:sz w:val="28"/>
                              </w:rPr>
                            </w:pPr>
                            <w:r w:rsidRPr="005650BE">
                              <w:rPr>
                                <w:b/>
                                <w:sz w:val="28"/>
                              </w:rPr>
                              <w:t>Mandanteninformationen</w:t>
                            </w:r>
                          </w:p>
                          <w:p w:rsidR="006D5A1E" w:rsidRPr="005650BE" w:rsidRDefault="00BE7524" w:rsidP="006D5A1E">
                            <w:pPr>
                              <w:spacing w:after="0" w:line="240" w:lineRule="auto"/>
                              <w:jc w:val="center"/>
                              <w:rPr>
                                <w:b/>
                                <w:sz w:val="28"/>
                              </w:rPr>
                            </w:pPr>
                            <w:r>
                              <w:rPr>
                                <w:b/>
                                <w:sz w:val="28"/>
                              </w:rPr>
                              <w:t>Miet- u</w:t>
                            </w:r>
                            <w:r w:rsidR="003E59C5">
                              <w:rPr>
                                <w:b/>
                                <w:sz w:val="28"/>
                              </w:rPr>
                              <w:t xml:space="preserve">nd Wohnungseigen-tumsrecht </w:t>
                            </w:r>
                            <w:r w:rsidR="00AB23E5">
                              <w:rPr>
                                <w:b/>
                                <w:sz w:val="28"/>
                              </w:rPr>
                              <w:t>Oktober</w:t>
                            </w:r>
                            <w:r w:rsidR="00FE0107">
                              <w:rPr>
                                <w:b/>
                                <w:sz w:val="28"/>
                              </w:rPr>
                              <w:t xml:space="preserve">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5pt;margin-top:-10.65pt;width:205.1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">
                <v:textbox>
                  <w:txbxContent>
                    <w:p w:rsidR="00BE7524" w:rsidRDefault="00BE7524" w:rsidP="00BE7524">
                      <w:pPr>
                        <w:spacing w:after="0" w:line="240" w:lineRule="auto"/>
                        <w:jc w:val="center"/>
                        <w:rPr>
                          <w:b/>
                          <w:sz w:val="28"/>
                        </w:rPr>
                      </w:pPr>
                      <w:r w:rsidRPr="005650BE">
                        <w:rPr>
                          <w:b/>
                          <w:sz w:val="28"/>
                        </w:rPr>
                        <w:t>Mandanteninformationen</w:t>
                      </w:r>
                    </w:p>
                    <w:p w:rsidR="006D5A1E" w:rsidRPr="005650BE" w:rsidRDefault="00BE7524" w:rsidP="006D5A1E">
                      <w:pPr>
                        <w:spacing w:after="0" w:line="240" w:lineRule="auto"/>
                        <w:jc w:val="center"/>
                        <w:rPr>
                          <w:b/>
                          <w:sz w:val="28"/>
                        </w:rPr>
                      </w:pPr>
                      <w:r>
                        <w:rPr>
                          <w:b/>
                          <w:sz w:val="28"/>
                        </w:rPr>
                        <w:t>Miet- u</w:t>
                      </w:r>
                      <w:r w:rsidR="003E59C5">
                        <w:rPr>
                          <w:b/>
                          <w:sz w:val="28"/>
                        </w:rPr>
                        <w:t xml:space="preserve">nd Wohnungseigen-tumsrecht </w:t>
                      </w:r>
                      <w:r w:rsidR="00AB23E5">
                        <w:rPr>
                          <w:b/>
                          <w:sz w:val="28"/>
                        </w:rPr>
                        <w:t>Oktober</w:t>
                      </w:r>
                      <w:r w:rsidR="00FE0107">
                        <w:rPr>
                          <w:b/>
                          <w:sz w:val="28"/>
                        </w:rPr>
                        <w:t xml:space="preserve"> 2018</w:t>
                      </w:r>
                    </w:p>
                  </w:txbxContent>
                </v:textbox>
              </v:shape>
            </w:pict>
          </mc:Fallback>
        </mc:AlternateContent>
      </w:r>
    </w:p>
    <w:p w:rsidR="001745A0" w:rsidRDefault="001745A0" w:rsidP="006D5A1E">
      <w:pPr>
        <w:pStyle w:val="KeinLeerraum"/>
      </w:pPr>
    </w:p>
    <w:p w:rsidR="001745A0" w:rsidRDefault="001745A0" w:rsidP="006D5A1E">
      <w:pPr>
        <w:pStyle w:val="KeinLeerraum"/>
      </w:pPr>
    </w:p>
    <w:p w:rsidR="001745A0" w:rsidRDefault="001745A0" w:rsidP="006D5A1E">
      <w:pPr>
        <w:pStyle w:val="KeinLeerraum"/>
      </w:pPr>
    </w:p>
    <w:p w:rsidR="001745A0" w:rsidRDefault="001745A0" w:rsidP="006D5A1E">
      <w:pPr>
        <w:pStyle w:val="KeinLeerraum"/>
      </w:pPr>
    </w:p>
    <w:p w:rsidR="007E2B24" w:rsidRDefault="007E2B24" w:rsidP="009A5D8D">
      <w:pPr>
        <w:pStyle w:val="KeinLeerraum"/>
        <w:rPr>
          <w:rFonts w:cs="Times New Roman"/>
        </w:rPr>
      </w:pPr>
    </w:p>
    <w:p w:rsidR="007E2B24" w:rsidRDefault="007E2B24" w:rsidP="009A5D8D">
      <w:pPr>
        <w:pStyle w:val="KeinLeerraum"/>
        <w:rPr>
          <w:rFonts w:cs="Times New Roman"/>
        </w:rPr>
      </w:pPr>
      <w:r w:rsidRPr="007E2B24">
        <w:rPr>
          <w:rFonts w:cs="Times New Roman"/>
        </w:rPr>
        <w:t xml:space="preserve">Der </w:t>
      </w:r>
      <w:r w:rsidRPr="007E2B24">
        <w:rPr>
          <w:rFonts w:cs="Times New Roman"/>
          <w:b/>
        </w:rPr>
        <w:t>BGH</w:t>
      </w:r>
      <w:r w:rsidRPr="007E2B24">
        <w:rPr>
          <w:rFonts w:cs="Times New Roman"/>
        </w:rPr>
        <w:t xml:space="preserve"> hat mit Urteil vom 23.03.2018 en</w:t>
      </w:r>
      <w:r w:rsidRPr="007E2B24">
        <w:rPr>
          <w:rFonts w:cs="Times New Roman"/>
        </w:rPr>
        <w:t>t</w:t>
      </w:r>
      <w:r w:rsidRPr="007E2B24">
        <w:rPr>
          <w:rFonts w:cs="Times New Roman"/>
        </w:rPr>
        <w:t>schieden, dass eine Sondernutzungsrechtsänd</w:t>
      </w:r>
      <w:r w:rsidRPr="007E2B24">
        <w:rPr>
          <w:rFonts w:cs="Times New Roman"/>
        </w:rPr>
        <w:t>e</w:t>
      </w:r>
      <w:r w:rsidRPr="007E2B24">
        <w:rPr>
          <w:rFonts w:cs="Times New Roman"/>
        </w:rPr>
        <w:t>rung nicht mit Mehrheitsbeschluss erfolgen kann. Die übrigen Wohnungseigentümer kö</w:t>
      </w:r>
      <w:r w:rsidRPr="007E2B24">
        <w:rPr>
          <w:rFonts w:cs="Times New Roman"/>
        </w:rPr>
        <w:t>n</w:t>
      </w:r>
      <w:r w:rsidRPr="007E2B24">
        <w:rPr>
          <w:rFonts w:cs="Times New Roman"/>
        </w:rPr>
        <w:t>nen eine vereinbarte Sondernutzungsrechtsfl</w:t>
      </w:r>
      <w:r w:rsidRPr="007E2B24">
        <w:rPr>
          <w:rFonts w:cs="Times New Roman"/>
        </w:rPr>
        <w:t>ä</w:t>
      </w:r>
      <w:r w:rsidRPr="007E2B24">
        <w:rPr>
          <w:rFonts w:cs="Times New Roman"/>
        </w:rPr>
        <w:t>che nicht einfach in Anspruch nehmen, um der erteilten Baugenehmigung entsprechen zu können. Dies wird erst nach einer – rechtskrä</w:t>
      </w:r>
      <w:r w:rsidRPr="007E2B24">
        <w:rPr>
          <w:rFonts w:cs="Times New Roman"/>
        </w:rPr>
        <w:t>f</w:t>
      </w:r>
      <w:r w:rsidRPr="007E2B24">
        <w:rPr>
          <w:rFonts w:cs="Times New Roman"/>
        </w:rPr>
        <w:t>tigen – Änderung der Gemeinschaftsordnung zulässig werden.  Die klagende Wohnungse</w:t>
      </w:r>
      <w:r w:rsidRPr="007E2B24">
        <w:rPr>
          <w:rFonts w:cs="Times New Roman"/>
        </w:rPr>
        <w:t>i</w:t>
      </w:r>
      <w:r w:rsidRPr="007E2B24">
        <w:rPr>
          <w:rFonts w:cs="Times New Roman"/>
        </w:rPr>
        <w:t>gentümergemeinschaft verlangt von der B</w:t>
      </w:r>
      <w:r w:rsidRPr="007E2B24">
        <w:rPr>
          <w:rFonts w:cs="Times New Roman"/>
        </w:rPr>
        <w:t>e</w:t>
      </w:r>
      <w:r w:rsidRPr="007E2B24">
        <w:rPr>
          <w:rFonts w:cs="Times New Roman"/>
        </w:rPr>
        <w:t>klagten Eigentümerin die Duldung der Ina</w:t>
      </w:r>
      <w:r w:rsidRPr="007E2B24">
        <w:rPr>
          <w:rFonts w:cs="Times New Roman"/>
        </w:rPr>
        <w:t>n</w:t>
      </w:r>
      <w:r w:rsidRPr="007E2B24">
        <w:rPr>
          <w:rFonts w:cs="Times New Roman"/>
        </w:rPr>
        <w:t>spruchnahme einer abgezäuntenzehn T.erassen- und Gartenfläche im Sondernu</w:t>
      </w:r>
      <w:r w:rsidRPr="007E2B24">
        <w:rPr>
          <w:rFonts w:cs="Times New Roman"/>
        </w:rPr>
        <w:t>t</w:t>
      </w:r>
      <w:r w:rsidRPr="007E2B24">
        <w:rPr>
          <w:rFonts w:cs="Times New Roman"/>
        </w:rPr>
        <w:t>zungsrecht der Beklagten. Die Gemeinschaft will stattdessen zwei Stellplätze errichten, weil abweichend von der Baugenehmigung gebaut worden ist, welche einzuhalten die Stadt Köln verlangt. Eine Verpflichtung der Beklagten, eine Wegnahme Ihres Sondernutzungsrechts – gegen Entschädigung – zu dulden, besteht nicht, dass auch unter Beachtung der Grund</w:t>
      </w:r>
      <w:r w:rsidRPr="007E2B24">
        <w:rPr>
          <w:rFonts w:cs="Times New Roman"/>
        </w:rPr>
        <w:t>s</w:t>
      </w:r>
      <w:r w:rsidRPr="007E2B24">
        <w:rPr>
          <w:rFonts w:cs="Times New Roman"/>
        </w:rPr>
        <w:t>ätze von Treu und Glauben Sinn und Zweck eines Sondernutzungsrechts widerspräche. Eine Änderung des Inhalts des Sondernu</w:t>
      </w:r>
      <w:r w:rsidRPr="007E2B24">
        <w:rPr>
          <w:rFonts w:cs="Times New Roman"/>
        </w:rPr>
        <w:t>t</w:t>
      </w:r>
      <w:r w:rsidRPr="007E2B24">
        <w:rPr>
          <w:rFonts w:cs="Times New Roman"/>
        </w:rPr>
        <w:t>zungsrecht kann nur auf Grundlage von § 10 Abs. 2 Satz 3 WEG erfolgen. Eine Verpflic</w:t>
      </w:r>
      <w:r w:rsidRPr="007E2B24">
        <w:rPr>
          <w:rFonts w:cs="Times New Roman"/>
        </w:rPr>
        <w:t>h</w:t>
      </w:r>
      <w:r w:rsidRPr="007E2B24">
        <w:rPr>
          <w:rFonts w:cs="Times New Roman"/>
        </w:rPr>
        <w:t>tung der Beklagten zur Duldung der Umwan</w:t>
      </w:r>
      <w:r w:rsidRPr="007E2B24">
        <w:rPr>
          <w:rFonts w:cs="Times New Roman"/>
        </w:rPr>
        <w:t>d</w:t>
      </w:r>
      <w:r w:rsidRPr="007E2B24">
        <w:rPr>
          <w:rFonts w:cs="Times New Roman"/>
        </w:rPr>
        <w:t>lung ihres Sondernutzungsberechtigten lässt sich aus § 10 Abs. 2 Satz 3, § 15 Abs. 3 WEG allerdings hier nicht herleiten. Zwar kann sich daraus – als Ultima Ratio – auch ein Anspruch auf Aufhebung eines Sondernutzungsrechts ergeben, was aber voraussetzt, dass anderwe</w:t>
      </w:r>
      <w:r w:rsidRPr="007E2B24">
        <w:rPr>
          <w:rFonts w:cs="Times New Roman"/>
        </w:rPr>
        <w:t>i</w:t>
      </w:r>
      <w:r w:rsidRPr="007E2B24">
        <w:rPr>
          <w:rFonts w:cs="Times New Roman"/>
        </w:rPr>
        <w:t>tige Möglichkeiten nicht gegeben sind, was vorliegend nicht vorgetragen ist. Die Darl</w:t>
      </w:r>
      <w:r w:rsidRPr="007E2B24">
        <w:rPr>
          <w:rFonts w:cs="Times New Roman"/>
        </w:rPr>
        <w:t>e</w:t>
      </w:r>
      <w:r w:rsidRPr="007E2B24">
        <w:rPr>
          <w:rFonts w:cs="Times New Roman"/>
        </w:rPr>
        <w:t>gungs- und Beweislast trifft nach allgemeinen Regeln die den Anspruch verfolgen die Kläg</w:t>
      </w:r>
      <w:r w:rsidRPr="007E2B24">
        <w:rPr>
          <w:rFonts w:cs="Times New Roman"/>
        </w:rPr>
        <w:t>e</w:t>
      </w:r>
      <w:r w:rsidRPr="007E2B24">
        <w:rPr>
          <w:rFonts w:cs="Times New Roman"/>
        </w:rPr>
        <w:t>rin.</w:t>
      </w:r>
    </w:p>
    <w:p w:rsidR="00F31344" w:rsidRDefault="00F31344" w:rsidP="009A5D8D">
      <w:pPr>
        <w:pStyle w:val="KeinLeerraum"/>
        <w:rPr>
          <w:rFonts w:cs="Times New Roman"/>
        </w:rPr>
      </w:pPr>
    </w:p>
    <w:p w:rsidR="00F31344" w:rsidRPr="00F31344" w:rsidRDefault="00F31344" w:rsidP="00F31344">
      <w:pPr>
        <w:pStyle w:val="KeinLeerraum"/>
        <w:rPr>
          <w:rFonts w:cs="Times New Roman"/>
        </w:rPr>
      </w:pPr>
      <w:r>
        <w:rPr>
          <w:rFonts w:cs="Times New Roman"/>
        </w:rPr>
        <w:t xml:space="preserve">Das </w:t>
      </w:r>
      <w:r w:rsidRPr="00F31344">
        <w:rPr>
          <w:rFonts w:cs="Times New Roman"/>
          <w:b/>
        </w:rPr>
        <w:t>Amtsgericht München</w:t>
      </w:r>
      <w:r>
        <w:rPr>
          <w:rFonts w:cs="Times New Roman"/>
        </w:rPr>
        <w:t xml:space="preserve"> mit Urteil vom</w:t>
      </w:r>
      <w:r w:rsidRPr="00F31344">
        <w:rPr>
          <w:rFonts w:cs="Times New Roman"/>
        </w:rPr>
        <w:t xml:space="preserve"> </w:t>
      </w:r>
      <w:r>
        <w:rPr>
          <w:rFonts w:cs="Times New Roman"/>
        </w:rPr>
        <w:t xml:space="preserve">15.02.2018 folgendes entschieden. </w:t>
      </w:r>
      <w:r w:rsidRPr="00F31344">
        <w:rPr>
          <w:rFonts w:cs="Times New Roman"/>
        </w:rPr>
        <w:t xml:space="preserve">Verstirbt ein Mieter und kündigt der Vermieter deshalb gegenüber dem Mietvertragserben, ist die Kündigung auch dann wirksam, wenn sie fälschlich statt auf § </w:t>
      </w:r>
      <w:hyperlink r:id="rId8" w:history="1">
        <w:r w:rsidRPr="00F31344">
          <w:rPr>
            <w:rFonts w:cs="Times New Roman"/>
          </w:rPr>
          <w:t>564</w:t>
        </w:r>
      </w:hyperlink>
      <w:r w:rsidRPr="00F31344">
        <w:rPr>
          <w:rFonts w:cs="Times New Roman"/>
        </w:rPr>
        <w:t xml:space="preserve"> BGB auf den gleic</w:t>
      </w:r>
      <w:r w:rsidRPr="00F31344">
        <w:rPr>
          <w:rFonts w:cs="Times New Roman"/>
        </w:rPr>
        <w:t>h</w:t>
      </w:r>
      <w:r w:rsidRPr="00F31344">
        <w:rPr>
          <w:rFonts w:cs="Times New Roman"/>
        </w:rPr>
        <w:t xml:space="preserve">lautenden § </w:t>
      </w:r>
      <w:hyperlink r:id="rId9" w:history="1">
        <w:r w:rsidRPr="00F31344">
          <w:rPr>
            <w:rFonts w:cs="Times New Roman"/>
          </w:rPr>
          <w:t>580</w:t>
        </w:r>
      </w:hyperlink>
      <w:r w:rsidRPr="00F31344">
        <w:rPr>
          <w:rFonts w:cs="Times New Roman"/>
        </w:rPr>
        <w:t xml:space="preserve"> BGB gestützt wird. Dies hat das Amtsgericht München mit inzwischen rechtskräftigem Urteil vom 15.02.2018 en</w:t>
      </w:r>
      <w:r w:rsidRPr="00F31344">
        <w:rPr>
          <w:rFonts w:cs="Times New Roman"/>
        </w:rPr>
        <w:t>t</w:t>
      </w:r>
      <w:r w:rsidRPr="00F31344">
        <w:rPr>
          <w:rFonts w:cs="Times New Roman"/>
        </w:rPr>
        <w:t>schieden (Az.: 423 C 14088/17).</w:t>
      </w:r>
      <w:r>
        <w:rPr>
          <w:rFonts w:cs="Times New Roman"/>
        </w:rPr>
        <w:t xml:space="preserve"> </w:t>
      </w:r>
      <w:r w:rsidRPr="00F31344">
        <w:rPr>
          <w:rFonts w:cs="Times New Roman"/>
        </w:rPr>
        <w:t xml:space="preserve">Vermieter </w:t>
      </w:r>
      <w:r w:rsidRPr="00F31344">
        <w:rPr>
          <w:rFonts w:cs="Times New Roman"/>
        </w:rPr>
        <w:lastRenderedPageBreak/>
        <w:t>kündigen Mietvertragserben fälschlich nach § 580 BGB</w:t>
      </w:r>
      <w:r>
        <w:rPr>
          <w:rFonts w:cs="Times New Roman"/>
        </w:rPr>
        <w:t xml:space="preserve">. </w:t>
      </w:r>
      <w:r w:rsidRPr="00F31344">
        <w:rPr>
          <w:rFonts w:cs="Times New Roman"/>
        </w:rPr>
        <w:t>Der im November 2016 verstorbene Vater des Beklagten hatte die Wohnung 1982 von der Voreigentümerin gemietet. Der Vater wurde allein vom Beklagten beerbt, der nach dem Tod dessen Wohnung bezog. Im März 2017 wurde gegenüber dem Beklagten schrif</w:t>
      </w:r>
      <w:r w:rsidRPr="00F31344">
        <w:rPr>
          <w:rFonts w:cs="Times New Roman"/>
        </w:rPr>
        <w:t>t</w:t>
      </w:r>
      <w:r w:rsidRPr="00F31344">
        <w:rPr>
          <w:rFonts w:cs="Times New Roman"/>
        </w:rPr>
        <w:t>lich die fristlose Kündigung wegen Zahlung</w:t>
      </w:r>
      <w:r w:rsidRPr="00F31344">
        <w:rPr>
          <w:rFonts w:cs="Times New Roman"/>
        </w:rPr>
        <w:t>s</w:t>
      </w:r>
      <w:r w:rsidRPr="00F31344">
        <w:rPr>
          <w:rFonts w:cs="Times New Roman"/>
        </w:rPr>
        <w:t xml:space="preserve">verzugs erklärt, hilfsweise wegen des Todes des Mieters "nach § </w:t>
      </w:r>
      <w:hyperlink r:id="rId10" w:history="1">
        <w:r w:rsidRPr="00F31344">
          <w:rPr>
            <w:rFonts w:cs="Times New Roman"/>
          </w:rPr>
          <w:t>580</w:t>
        </w:r>
      </w:hyperlink>
      <w:r w:rsidRPr="00F31344">
        <w:rPr>
          <w:rFonts w:cs="Times New Roman"/>
        </w:rPr>
        <w:t xml:space="preserve"> BGB". Diese Vo</w:t>
      </w:r>
      <w:r w:rsidRPr="00F31344">
        <w:rPr>
          <w:rFonts w:cs="Times New Roman"/>
        </w:rPr>
        <w:t>r</w:t>
      </w:r>
      <w:r w:rsidRPr="00F31344">
        <w:rPr>
          <w:rFonts w:cs="Times New Roman"/>
        </w:rPr>
        <w:t xml:space="preserve">schrift gilt für Wohnraummietverträge nicht. Er gibt ebenso wie der eigentlich anwendbare § </w:t>
      </w:r>
      <w:hyperlink r:id="rId11" w:history="1">
        <w:r w:rsidRPr="00F31344">
          <w:rPr>
            <w:rFonts w:cs="Times New Roman"/>
          </w:rPr>
          <w:t>564</w:t>
        </w:r>
      </w:hyperlink>
      <w:r w:rsidRPr="00F31344">
        <w:rPr>
          <w:rFonts w:cs="Times New Roman"/>
        </w:rPr>
        <w:t xml:space="preserve"> BGB dem Vermieter binnen eines M</w:t>
      </w:r>
      <w:r w:rsidRPr="00F31344">
        <w:rPr>
          <w:rFonts w:cs="Times New Roman"/>
        </w:rPr>
        <w:t>o</w:t>
      </w:r>
      <w:r w:rsidRPr="00F31344">
        <w:rPr>
          <w:rFonts w:cs="Times New Roman"/>
        </w:rPr>
        <w:t>nats nach Kenntnis vom Tod des Mieters ein Kündigungsrecht gegenüber nicht bereits fr</w:t>
      </w:r>
      <w:r w:rsidRPr="00F31344">
        <w:rPr>
          <w:rFonts w:cs="Times New Roman"/>
        </w:rPr>
        <w:t>ü</w:t>
      </w:r>
      <w:r w:rsidRPr="00F31344">
        <w:rPr>
          <w:rFonts w:cs="Times New Roman"/>
        </w:rPr>
        <w:t>her in der Wohnung mitlebenden Erben.</w:t>
      </w:r>
    </w:p>
    <w:p w:rsidR="00F31344" w:rsidRPr="00F31344" w:rsidRDefault="00F31344" w:rsidP="00F31344">
      <w:pPr>
        <w:pStyle w:val="KeinLeerraum"/>
        <w:rPr>
          <w:rFonts w:cs="Times New Roman"/>
        </w:rPr>
      </w:pPr>
      <w:r w:rsidRPr="00F31344">
        <w:rPr>
          <w:rFonts w:cs="Times New Roman"/>
        </w:rPr>
        <w:t>AG: Beklagter muss Wohnung räumen</w:t>
      </w:r>
      <w:r>
        <w:rPr>
          <w:rFonts w:cs="Times New Roman"/>
        </w:rPr>
        <w:t xml:space="preserve"> </w:t>
      </w:r>
      <w:r w:rsidRPr="00F31344">
        <w:rPr>
          <w:rFonts w:cs="Times New Roman"/>
        </w:rPr>
        <w:t>Das AG hat der Klage stattgegeben und den B</w:t>
      </w:r>
      <w:r w:rsidRPr="00F31344">
        <w:rPr>
          <w:rFonts w:cs="Times New Roman"/>
        </w:rPr>
        <w:t>e</w:t>
      </w:r>
      <w:r w:rsidRPr="00F31344">
        <w:rPr>
          <w:rFonts w:cs="Times New Roman"/>
        </w:rPr>
        <w:t>klagten verurteilt, die Wohnung nebst Garage zu räumen und an die Kläger herauszugeben. Eine fristlose Kündigung wegen Mietrückstä</w:t>
      </w:r>
      <w:r w:rsidRPr="00F31344">
        <w:rPr>
          <w:rFonts w:cs="Times New Roman"/>
        </w:rPr>
        <w:t>n</w:t>
      </w:r>
      <w:r w:rsidRPr="00F31344">
        <w:rPr>
          <w:rFonts w:cs="Times New Roman"/>
        </w:rPr>
        <w:t>den komme zwar nach deren Begleichung nicht mehr in Betracht. Die Kläger hätten dem Beklagten aber wirksam ordentlich wegen Zahlungsverzugs gekündigt. Die Berufung des Beklagten auf den Erbfall genüge nicht, um ein fehlendes Verschulden darzulegen. Dazu hätte er ausführen und gegebenenfalls beweisen müssen, wann der Beklagte vom Todesfall erfahren habe und dass er nicht zu einem früheren Zeitpunkt in der Lage gewesen wäre, die Rückstände zu begleichen.</w:t>
      </w:r>
    </w:p>
    <w:p w:rsidR="00F31344" w:rsidRPr="00F31344" w:rsidRDefault="00F31344" w:rsidP="00F31344">
      <w:pPr>
        <w:pStyle w:val="KeinLeerraum"/>
        <w:rPr>
          <w:rFonts w:cs="Times New Roman"/>
        </w:rPr>
      </w:pPr>
      <w:r w:rsidRPr="00F31344">
        <w:rPr>
          <w:rFonts w:cs="Times New Roman"/>
        </w:rPr>
        <w:t>Fälschliche Bezugnahme auf gleichlautenden § 580 BGB unschädlich</w:t>
      </w:r>
    </w:p>
    <w:p w:rsidR="00F31344" w:rsidRPr="00F31344" w:rsidRDefault="00F31344" w:rsidP="00F31344">
      <w:pPr>
        <w:pStyle w:val="KeinLeerraum"/>
        <w:rPr>
          <w:rFonts w:cs="Times New Roman"/>
        </w:rPr>
      </w:pPr>
      <w:r w:rsidRPr="00F31344">
        <w:rPr>
          <w:rFonts w:cs="Times New Roman"/>
        </w:rPr>
        <w:t>Laut AG konnten die Kläger die ordentliche Kündigung auch auf das Sonderkündigung</w:t>
      </w:r>
      <w:r w:rsidRPr="00F31344">
        <w:rPr>
          <w:rFonts w:cs="Times New Roman"/>
        </w:rPr>
        <w:t>s</w:t>
      </w:r>
      <w:r w:rsidRPr="00F31344">
        <w:rPr>
          <w:rFonts w:cs="Times New Roman"/>
        </w:rPr>
        <w:t xml:space="preserve">recht innerhalb eines Monats nach Kenntnis vom Tod des Mieters stützen. Dass die Kläger im Kündigungsschreiben nicht auf § </w:t>
      </w:r>
      <w:hyperlink r:id="rId12" w:history="1">
        <w:r w:rsidRPr="00F31344">
          <w:rPr>
            <w:rFonts w:cs="Times New Roman"/>
          </w:rPr>
          <w:t>564</w:t>
        </w:r>
      </w:hyperlink>
      <w:r w:rsidRPr="00F31344">
        <w:rPr>
          <w:rFonts w:cs="Times New Roman"/>
        </w:rPr>
        <w:t xml:space="preserve"> BGB, sondern auf § </w:t>
      </w:r>
      <w:hyperlink r:id="rId13" w:history="1">
        <w:r w:rsidRPr="00F31344">
          <w:rPr>
            <w:rFonts w:cs="Times New Roman"/>
          </w:rPr>
          <w:t>580</w:t>
        </w:r>
      </w:hyperlink>
      <w:r w:rsidRPr="00F31344">
        <w:rPr>
          <w:rFonts w:cs="Times New Roman"/>
        </w:rPr>
        <w:t xml:space="preserve"> BGB Bezug genommen hätten, sei unschädlich. Zwar sei im Künd</w:t>
      </w:r>
      <w:r w:rsidRPr="00F31344">
        <w:rPr>
          <w:rFonts w:cs="Times New Roman"/>
        </w:rPr>
        <w:t>i</w:t>
      </w:r>
      <w:r w:rsidRPr="00F31344">
        <w:rPr>
          <w:rFonts w:cs="Times New Roman"/>
        </w:rPr>
        <w:t>gungsschreiben der Grund der Kündigung anzugeben. Die Anforderungen an das B</w:t>
      </w:r>
      <w:r w:rsidRPr="00F31344">
        <w:rPr>
          <w:rFonts w:cs="Times New Roman"/>
        </w:rPr>
        <w:t>e</w:t>
      </w:r>
      <w:r w:rsidRPr="00F31344">
        <w:rPr>
          <w:rFonts w:cs="Times New Roman"/>
        </w:rPr>
        <w:t xml:space="preserve">gründungserfordernis dürften jedoch nicht überspannt werden. Die Kläger hätten durch die Bezugnahme auf § </w:t>
      </w:r>
      <w:hyperlink r:id="rId14" w:history="1">
        <w:r w:rsidRPr="00F31344">
          <w:rPr>
            <w:rFonts w:cs="Times New Roman"/>
          </w:rPr>
          <w:t>580</w:t>
        </w:r>
      </w:hyperlink>
      <w:r w:rsidRPr="00F31344">
        <w:rPr>
          <w:rFonts w:cs="Times New Roman"/>
        </w:rPr>
        <w:t xml:space="preserve"> BGB offensichtlich zum Ausdruck bringen wollen, dass sie von dem aufgrund des Todes des bisherigen Mi</w:t>
      </w:r>
      <w:r w:rsidRPr="00F31344">
        <w:rPr>
          <w:rFonts w:cs="Times New Roman"/>
        </w:rPr>
        <w:t>e</w:t>
      </w:r>
      <w:r w:rsidRPr="00F31344">
        <w:rPr>
          <w:rFonts w:cs="Times New Roman"/>
        </w:rPr>
        <w:t xml:space="preserve">ters bestehenden Kündigungsrecht Gebrauch machen wollen. Die Vorschriften der §§ </w:t>
      </w:r>
      <w:hyperlink r:id="rId15" w:history="1">
        <w:r w:rsidRPr="00F31344">
          <w:rPr>
            <w:rFonts w:cs="Times New Roman"/>
          </w:rPr>
          <w:t>580</w:t>
        </w:r>
      </w:hyperlink>
      <w:r w:rsidRPr="00F31344">
        <w:rPr>
          <w:rFonts w:cs="Times New Roman"/>
        </w:rPr>
        <w:t xml:space="preserve"> und </w:t>
      </w:r>
      <w:hyperlink r:id="rId16" w:history="1">
        <w:r w:rsidRPr="00F31344">
          <w:rPr>
            <w:rFonts w:cs="Times New Roman"/>
          </w:rPr>
          <w:t>564</w:t>
        </w:r>
      </w:hyperlink>
      <w:r w:rsidRPr="00F31344">
        <w:rPr>
          <w:rFonts w:cs="Times New Roman"/>
        </w:rPr>
        <w:t xml:space="preserve"> S. 2 BGB hätten insoweit den gle</w:t>
      </w:r>
      <w:r w:rsidRPr="00F31344">
        <w:rPr>
          <w:rFonts w:cs="Times New Roman"/>
        </w:rPr>
        <w:t>i</w:t>
      </w:r>
      <w:r w:rsidRPr="00F31344">
        <w:rPr>
          <w:rFonts w:cs="Times New Roman"/>
        </w:rPr>
        <w:t xml:space="preserve">chen Regelungsgehalt und seien praktisch wortgleich. Das versehentliche Zitieren des falschen Paragrafen führt nach Ansicht des AG nicht zur Unwirksamkeit der Kündigung. Das </w:t>
      </w:r>
      <w:r w:rsidRPr="00F31344">
        <w:rPr>
          <w:rFonts w:cs="Times New Roman"/>
        </w:rPr>
        <w:lastRenderedPageBreak/>
        <w:t>Urteil ist nach Zurückweisung der Berufung rechtskräftig. </w:t>
      </w:r>
    </w:p>
    <w:p w:rsidR="00F31344" w:rsidRDefault="00F31344" w:rsidP="009A5D8D">
      <w:pPr>
        <w:pStyle w:val="KeinLeerraum"/>
        <w:rPr>
          <w:rFonts w:cs="Times New Roman"/>
        </w:rPr>
      </w:pPr>
    </w:p>
    <w:p w:rsidR="001A7722" w:rsidRDefault="001A7722" w:rsidP="009A5D8D">
      <w:pPr>
        <w:pStyle w:val="KeinLeerraum"/>
        <w:rPr>
          <w:rFonts w:cs="Times New Roman"/>
        </w:rPr>
      </w:pPr>
      <w:r w:rsidRPr="001A7722">
        <w:rPr>
          <w:rFonts w:cs="Times New Roman"/>
        </w:rPr>
        <w:t xml:space="preserve">Das </w:t>
      </w:r>
      <w:r w:rsidRPr="001A7722">
        <w:rPr>
          <w:rFonts w:cs="Times New Roman"/>
          <w:b/>
        </w:rPr>
        <w:t>Landgericht Saarbrücken</w:t>
      </w:r>
      <w:r w:rsidRPr="001A7722">
        <w:rPr>
          <w:rFonts w:cs="Times New Roman"/>
        </w:rPr>
        <w:t xml:space="preserve"> hat mit B</w:t>
      </w:r>
      <w:r w:rsidRPr="001A7722">
        <w:rPr>
          <w:rFonts w:cs="Times New Roman"/>
        </w:rPr>
        <w:t>e</w:t>
      </w:r>
      <w:r w:rsidRPr="001A7722">
        <w:rPr>
          <w:rFonts w:cs="Times New Roman"/>
        </w:rPr>
        <w:t>schluss vom 09.05.2018 festgestellt, dass in der Überlassung von Wohnraum an ein vol</w:t>
      </w:r>
      <w:r w:rsidRPr="001A7722">
        <w:rPr>
          <w:rFonts w:cs="Times New Roman"/>
        </w:rPr>
        <w:t>l</w:t>
      </w:r>
      <w:r w:rsidRPr="001A7722">
        <w:rPr>
          <w:rFonts w:cs="Times New Roman"/>
        </w:rPr>
        <w:t>jähriges Kind (hier 45-jähriger Sohn) die Ei</w:t>
      </w:r>
      <w:r w:rsidRPr="001A7722">
        <w:rPr>
          <w:rFonts w:cs="Times New Roman"/>
        </w:rPr>
        <w:t>n</w:t>
      </w:r>
      <w:r w:rsidRPr="001A7722">
        <w:rPr>
          <w:rFonts w:cs="Times New Roman"/>
        </w:rPr>
        <w:t>räumung von Mitbesitz liegen kann, wenn dies durch von entsprechenden Willen getragene Handlunge</w:t>
      </w:r>
      <w:r>
        <w:rPr>
          <w:rFonts w:cs="Times New Roman"/>
        </w:rPr>
        <w:t>n nach außen erkennbar ist. Ein</w:t>
      </w:r>
      <w:r w:rsidRPr="001A7722">
        <w:rPr>
          <w:rFonts w:cs="Times New Roman"/>
        </w:rPr>
        <w:t xml:space="preserve"> Anhaltspunkt für einen solchen Willen liegt vor, wenn das volljährige Kind unter der zu räumenden Anschrift gemeldet ist, und das Vollstreckungsorgan festgestellt hat, dass es die Räu</w:t>
      </w:r>
      <w:r>
        <w:rPr>
          <w:rFonts w:cs="Times New Roman"/>
        </w:rPr>
        <w:t xml:space="preserve">me dauerhaft als Wohnung nutzt. Der Vermieter muss daher </w:t>
      </w:r>
      <w:r w:rsidRPr="001A7722">
        <w:rPr>
          <w:rFonts w:cs="Times New Roman"/>
        </w:rPr>
        <w:t>auch gegen den volljä</w:t>
      </w:r>
      <w:r w:rsidRPr="001A7722">
        <w:rPr>
          <w:rFonts w:cs="Times New Roman"/>
        </w:rPr>
        <w:t>h</w:t>
      </w:r>
      <w:r w:rsidRPr="001A7722">
        <w:rPr>
          <w:rFonts w:cs="Times New Roman"/>
        </w:rPr>
        <w:t xml:space="preserve">rigen Sohn einen Räumungstitel erwirken. </w:t>
      </w:r>
    </w:p>
    <w:p w:rsidR="001A7722" w:rsidRDefault="001A7722" w:rsidP="009A5D8D">
      <w:pPr>
        <w:pStyle w:val="KeinLeerraum"/>
        <w:rPr>
          <w:rFonts w:cs="Times New Roman"/>
        </w:rPr>
      </w:pPr>
    </w:p>
    <w:p w:rsidR="001A7722" w:rsidRDefault="001A7722" w:rsidP="009A5D8D">
      <w:pPr>
        <w:pStyle w:val="KeinLeerraum"/>
        <w:rPr>
          <w:rFonts w:cs="Times New Roman"/>
        </w:rPr>
      </w:pPr>
      <w:r w:rsidRPr="001A7722">
        <w:rPr>
          <w:rFonts w:cs="Times New Roman"/>
        </w:rPr>
        <w:t xml:space="preserve">Das </w:t>
      </w:r>
      <w:r w:rsidRPr="001A7722">
        <w:rPr>
          <w:rFonts w:cs="Times New Roman"/>
          <w:b/>
        </w:rPr>
        <w:t>Landgericht Berlin</w:t>
      </w:r>
      <w:r w:rsidRPr="001A7722">
        <w:rPr>
          <w:rFonts w:cs="Times New Roman"/>
        </w:rPr>
        <w:t xml:space="preserve"> hat mit Beschluss vom 10.01.2018 entschieden, dass der Wunsch eines Mieters, nach dem Auszug von Kindern mit einer anderen Person zusammen zu leben und sich mit dieser Person die Wohnkosten zu teilen, um seine eigene finanzielle Belastung zu senken, die Voraussetzungen des § 553 Abs. 1 BGB erfüllt. Es kommt nicht darauf an, in welchem Verhältnis die potenziellen Mi</w:t>
      </w:r>
      <w:r w:rsidRPr="001A7722">
        <w:rPr>
          <w:rFonts w:cs="Times New Roman"/>
        </w:rPr>
        <w:t>t</w:t>
      </w:r>
      <w:r w:rsidRPr="001A7722">
        <w:rPr>
          <w:rFonts w:cs="Times New Roman"/>
        </w:rPr>
        <w:t>bewohner zueinander stehen. Dem Mieter kann nicht vorgehalten werden, sich eine günstigere Wohnung zu suchen, da § 553 Abs. 1 BGB gerade den Zweck verfolgt, dem Mieter die Wohnung zu erhalten. Eine Verweigerung der Erlaubnis zur Untervermietung kommt nur dann in Betracht, wenn in der Person des Dri</w:t>
      </w:r>
      <w:r w:rsidRPr="001A7722">
        <w:rPr>
          <w:rFonts w:cs="Times New Roman"/>
        </w:rPr>
        <w:t>t</w:t>
      </w:r>
      <w:r w:rsidRPr="001A7722">
        <w:rPr>
          <w:rFonts w:cs="Times New Roman"/>
        </w:rPr>
        <w:t>ten ein wichtiger Grund vorliegt, der das Ve</w:t>
      </w:r>
      <w:r w:rsidRPr="001A7722">
        <w:rPr>
          <w:rFonts w:cs="Times New Roman"/>
        </w:rPr>
        <w:t>r</w:t>
      </w:r>
      <w:r w:rsidRPr="001A7722">
        <w:rPr>
          <w:rFonts w:cs="Times New Roman"/>
        </w:rPr>
        <w:t>sagen unter dem Gesichtspunkt der Zumutba</w:t>
      </w:r>
      <w:r w:rsidRPr="001A7722">
        <w:rPr>
          <w:rFonts w:cs="Times New Roman"/>
        </w:rPr>
        <w:t>r</w:t>
      </w:r>
      <w:r w:rsidRPr="001A7722">
        <w:rPr>
          <w:rFonts w:cs="Times New Roman"/>
        </w:rPr>
        <w:t xml:space="preserve">keit rechtfertigt. Entsprechend ist der Mieter verpflichtet, den Untermieter zu benennen. </w:t>
      </w:r>
    </w:p>
    <w:p w:rsidR="001A7722" w:rsidRDefault="001A7722" w:rsidP="009A5D8D">
      <w:pPr>
        <w:pStyle w:val="KeinLeerraum"/>
        <w:rPr>
          <w:rFonts w:cs="Times New Roman"/>
        </w:rPr>
      </w:pPr>
    </w:p>
    <w:p w:rsidR="001A7722" w:rsidRDefault="005027C3" w:rsidP="009A5D8D">
      <w:pPr>
        <w:pStyle w:val="KeinLeerraum"/>
        <w:rPr>
          <w:rFonts w:cs="Times New Roman"/>
        </w:rPr>
      </w:pPr>
      <w:r w:rsidRPr="005027C3">
        <w:rPr>
          <w:rFonts w:cs="Times New Roman"/>
        </w:rPr>
        <w:t xml:space="preserve">Das </w:t>
      </w:r>
      <w:r w:rsidRPr="005027C3">
        <w:rPr>
          <w:rFonts w:cs="Times New Roman"/>
          <w:b/>
        </w:rPr>
        <w:t>OLG Brandenburg</w:t>
      </w:r>
      <w:r w:rsidRPr="005027C3">
        <w:rPr>
          <w:rFonts w:cs="Times New Roman"/>
        </w:rPr>
        <w:t xml:space="preserve"> hat mit Urteil vom 19.06.2018 entschieden, dass bereits der A</w:t>
      </w:r>
      <w:r w:rsidRPr="005027C3">
        <w:rPr>
          <w:rFonts w:cs="Times New Roman"/>
        </w:rPr>
        <w:t>n</w:t>
      </w:r>
      <w:r w:rsidRPr="005027C3">
        <w:rPr>
          <w:rFonts w:cs="Times New Roman"/>
        </w:rPr>
        <w:t>nahmeverzug mit der Rücknahme der Miets</w:t>
      </w:r>
      <w:r w:rsidRPr="005027C3">
        <w:rPr>
          <w:rFonts w:cs="Times New Roman"/>
        </w:rPr>
        <w:t>a</w:t>
      </w:r>
      <w:r w:rsidRPr="005027C3">
        <w:rPr>
          <w:rFonts w:cs="Times New Roman"/>
        </w:rPr>
        <w:t>che den Beginn der kurzen Verjährungsfrist nach § 548 Abs. 1 BGB auslöst. Eine vollstä</w:t>
      </w:r>
      <w:r w:rsidRPr="005027C3">
        <w:rPr>
          <w:rFonts w:cs="Times New Roman"/>
        </w:rPr>
        <w:t>n</w:t>
      </w:r>
      <w:r w:rsidRPr="005027C3">
        <w:rPr>
          <w:rFonts w:cs="Times New Roman"/>
        </w:rPr>
        <w:t>dige Rückgabe bzw. Räumung der Mietsache ist nicht Voraussetzung für den Fristbeginn. Bietet der Mieter dem Vermieter die Rückgabe des streitgegenständlichen Mietobjektes und die Möglichkeit jederzeitiger Entgegennahme des Zugangscode zur Schließanlage des G</w:t>
      </w:r>
      <w:r w:rsidRPr="005027C3">
        <w:rPr>
          <w:rFonts w:cs="Times New Roman"/>
        </w:rPr>
        <w:t>e</w:t>
      </w:r>
      <w:r w:rsidRPr="005027C3">
        <w:rPr>
          <w:rFonts w:cs="Times New Roman"/>
        </w:rPr>
        <w:t xml:space="preserve">bäudes an, ist dieser Sachverhalt demjenigen der Schlüsselübergabe durch den Mieter ohne weiteres vergleichbar. </w:t>
      </w:r>
    </w:p>
    <w:p w:rsidR="005027C3" w:rsidRDefault="005027C3" w:rsidP="009A5D8D">
      <w:pPr>
        <w:pStyle w:val="KeinLeerraum"/>
        <w:rPr>
          <w:rFonts w:cs="Times New Roman"/>
        </w:rPr>
      </w:pPr>
    </w:p>
    <w:p w:rsidR="005027C3" w:rsidRDefault="005027C3" w:rsidP="009A5D8D">
      <w:pPr>
        <w:pStyle w:val="KeinLeerraum"/>
        <w:rPr>
          <w:rFonts w:cs="Times New Roman"/>
        </w:rPr>
      </w:pPr>
      <w:r w:rsidRPr="005027C3">
        <w:rPr>
          <w:rFonts w:cs="Times New Roman"/>
        </w:rPr>
        <w:t xml:space="preserve">Das </w:t>
      </w:r>
      <w:r w:rsidRPr="005027C3">
        <w:rPr>
          <w:rFonts w:cs="Times New Roman"/>
          <w:b/>
        </w:rPr>
        <w:t>Landgericht Frankfurt am Main</w:t>
      </w:r>
      <w:r w:rsidRPr="005027C3">
        <w:rPr>
          <w:rFonts w:cs="Times New Roman"/>
        </w:rPr>
        <w:t xml:space="preserve"> hat mit Urteil vom 17.05.2018 entschieden, dass für </w:t>
      </w:r>
      <w:r w:rsidRPr="005027C3">
        <w:rPr>
          <w:rFonts w:cs="Times New Roman"/>
        </w:rPr>
        <w:lastRenderedPageBreak/>
        <w:t>die Wohnungseigentümergemeinschaft keine Beschlusskompetenz für einen Beschluss über ein Verbot der Kontaktaufnahme von Eige</w:t>
      </w:r>
      <w:r w:rsidRPr="005027C3">
        <w:rPr>
          <w:rFonts w:cs="Times New Roman"/>
        </w:rPr>
        <w:t>n</w:t>
      </w:r>
      <w:r w:rsidRPr="005027C3">
        <w:rPr>
          <w:rFonts w:cs="Times New Roman"/>
        </w:rPr>
        <w:t>tümern zum Mietern anderer Eigentümer ohne deren Wissen besteht. Nach gefestigter Rech</w:t>
      </w:r>
      <w:r w:rsidRPr="005027C3">
        <w:rPr>
          <w:rFonts w:cs="Times New Roman"/>
        </w:rPr>
        <w:t>t</w:t>
      </w:r>
      <w:r w:rsidRPr="005027C3">
        <w:rPr>
          <w:rFonts w:cs="Times New Roman"/>
        </w:rPr>
        <w:t>sprechung des BGH können durch Beschluss dem einzelnen Wohnungseigentümer keine Leistungs- und und damit auch keine Unterla</w:t>
      </w:r>
      <w:r w:rsidRPr="005027C3">
        <w:rPr>
          <w:rFonts w:cs="Times New Roman"/>
        </w:rPr>
        <w:t>s</w:t>
      </w:r>
      <w:r w:rsidRPr="005027C3">
        <w:rPr>
          <w:rFonts w:cs="Times New Roman"/>
        </w:rPr>
        <w:t>sungspflichten auferlegt werden, die ihm nicht ohnehin nach dem Gesetz, nach der Teilung</w:t>
      </w:r>
      <w:r w:rsidRPr="005027C3">
        <w:rPr>
          <w:rFonts w:cs="Times New Roman"/>
        </w:rPr>
        <w:t>s</w:t>
      </w:r>
      <w:r w:rsidRPr="005027C3">
        <w:rPr>
          <w:rFonts w:cs="Times New Roman"/>
        </w:rPr>
        <w:t>erklärung oder Vereinbarungen der Wo</w:t>
      </w:r>
      <w:r w:rsidRPr="005027C3">
        <w:rPr>
          <w:rFonts w:cs="Times New Roman"/>
        </w:rPr>
        <w:t>h</w:t>
      </w:r>
      <w:r w:rsidRPr="005027C3">
        <w:rPr>
          <w:rFonts w:cs="Times New Roman"/>
        </w:rPr>
        <w:t xml:space="preserve">nungseigentümer bereits obliegen. </w:t>
      </w:r>
    </w:p>
    <w:p w:rsidR="005027C3" w:rsidRDefault="005027C3" w:rsidP="009A5D8D">
      <w:pPr>
        <w:pStyle w:val="KeinLeerraum"/>
        <w:rPr>
          <w:rFonts w:cs="Times New Roman"/>
        </w:rPr>
      </w:pPr>
    </w:p>
    <w:p w:rsidR="00C6761E" w:rsidRDefault="00C6761E" w:rsidP="009A5D8D">
      <w:pPr>
        <w:pStyle w:val="KeinLeerraum"/>
        <w:rPr>
          <w:rFonts w:cs="Times New Roman"/>
        </w:rPr>
      </w:pPr>
      <w:r w:rsidRPr="00C6761E">
        <w:rPr>
          <w:rFonts w:cs="Times New Roman"/>
        </w:rPr>
        <w:t xml:space="preserve">Der </w:t>
      </w:r>
      <w:r w:rsidRPr="00C6761E">
        <w:rPr>
          <w:rFonts w:cs="Times New Roman"/>
          <w:b/>
        </w:rPr>
        <w:t>BGH</w:t>
      </w:r>
      <w:r w:rsidRPr="00C6761E">
        <w:rPr>
          <w:rFonts w:cs="Times New Roman"/>
        </w:rPr>
        <w:t xml:space="preserve"> hat mit einem Urteil vom 23.02.2018 zum Umfang der Rechtskraft einer WEG- Anfechtungsklage Stellung genommen. Nach einer erfolgreichen in WEG- Anfec</w:t>
      </w:r>
      <w:r w:rsidRPr="00C6761E">
        <w:rPr>
          <w:rFonts w:cs="Times New Roman"/>
        </w:rPr>
        <w:t>h</w:t>
      </w:r>
      <w:r w:rsidRPr="00C6761E">
        <w:rPr>
          <w:rFonts w:cs="Times New Roman"/>
        </w:rPr>
        <w:t>tungsklage steht – sofern der Beschluss nicht wegen formeller Fehler für unwirksam erklärt worden ist – nach § 322 Abs. 1 ZPO fest, dass der Beschluss nicht ordnungsgemäßer Verwa</w:t>
      </w:r>
      <w:r w:rsidRPr="00C6761E">
        <w:rPr>
          <w:rFonts w:cs="Times New Roman"/>
        </w:rPr>
        <w:t>l</w:t>
      </w:r>
      <w:r w:rsidRPr="00C6761E">
        <w:rPr>
          <w:rFonts w:cs="Times New Roman"/>
        </w:rPr>
        <w:t>tung i. S. v. § 21 Abs. 4 WEG entsprach. Ha</w:t>
      </w:r>
      <w:r w:rsidRPr="00C6761E">
        <w:rPr>
          <w:rFonts w:cs="Times New Roman"/>
        </w:rPr>
        <w:t>n</w:t>
      </w:r>
      <w:r w:rsidRPr="00C6761E">
        <w:rPr>
          <w:rFonts w:cs="Times New Roman"/>
        </w:rPr>
        <w:t>delte es sich um einen Negativbeschluss, steht zugleich rechtskräftig fest, dass eine Han</w:t>
      </w:r>
      <w:r w:rsidRPr="00C6761E">
        <w:rPr>
          <w:rFonts w:cs="Times New Roman"/>
        </w:rPr>
        <w:t>d</w:t>
      </w:r>
      <w:r w:rsidRPr="00C6761E">
        <w:rPr>
          <w:rFonts w:cs="Times New Roman"/>
        </w:rPr>
        <w:t>lungs</w:t>
      </w:r>
      <w:r>
        <w:rPr>
          <w:rFonts w:cs="Times New Roman"/>
        </w:rPr>
        <w:t xml:space="preserve">pflicht bestand. </w:t>
      </w:r>
      <w:r>
        <w:t>Aufgrund der Rechtskraft des der Anfechtungsklage stattgebenden U</w:t>
      </w:r>
      <w:r>
        <w:t>r</w:t>
      </w:r>
      <w:r>
        <w:t>teils stehe fest, dass die übrigen Wohnungse</w:t>
      </w:r>
      <w:r>
        <w:t>i</w:t>
      </w:r>
      <w:r>
        <w:t>gentümer eine Handlungspflicht in Bezug auf die Instandsetzung des gemeinschaftlichen Eigentums getroffen habe. Denn die Able</w:t>
      </w:r>
      <w:r>
        <w:t>h</w:t>
      </w:r>
      <w:r>
        <w:t>nung einer beantragten Maßnahme könne nur dann ordnungsmäßiger Verwaltung widerspr</w:t>
      </w:r>
      <w:r>
        <w:t>e</w:t>
      </w:r>
      <w:r>
        <w:t>chen, wenn eine Pflicht zum Handeln besta</w:t>
      </w:r>
      <w:r>
        <w:t>n</w:t>
      </w:r>
      <w:r>
        <w:t>den habe. Darüber hinaus stehe aufgrund der weiter ausgesprochenen gerichtlichen B</w:t>
      </w:r>
      <w:r>
        <w:t>e</w:t>
      </w:r>
      <w:r>
        <w:t xml:space="preserve">schlussersetzung nach § </w:t>
      </w:r>
      <w:hyperlink r:id="rId17" w:history="1">
        <w:r w:rsidRPr="00C6761E">
          <w:t>21</w:t>
        </w:r>
      </w:hyperlink>
      <w:r>
        <w:t xml:space="preserve"> </w:t>
      </w:r>
      <w:hyperlink r:id="rId18" w:history="1">
        <w:r w:rsidRPr="00C6761E">
          <w:t>VIII</w:t>
        </w:r>
      </w:hyperlink>
      <w:r>
        <w:t xml:space="preserve"> WEG in B</w:t>
      </w:r>
      <w:r>
        <w:t>e</w:t>
      </w:r>
      <w:r>
        <w:t>zug auf die Instandsetzung des gemeinschaftl</w:t>
      </w:r>
      <w:r>
        <w:t>i</w:t>
      </w:r>
      <w:r>
        <w:t>chen Eigentums rechtskräftig fest, dass Mängel an diesem vorgelegen hätten, die für die Durchfeuchtung und Schimmelbildung ursäc</w:t>
      </w:r>
      <w:r>
        <w:t>h</w:t>
      </w:r>
      <w:r>
        <w:t>lich bzw. mitursächlich gewesen seien, und ein Anspruch des K auf Vornahme von Instandse</w:t>
      </w:r>
      <w:r>
        <w:t>t</w:t>
      </w:r>
      <w:r>
        <w:t>zungsarbeiten gegeben gewesen war.</w:t>
      </w:r>
    </w:p>
    <w:p w:rsidR="00C6761E" w:rsidRDefault="00C6761E" w:rsidP="009A5D8D">
      <w:pPr>
        <w:pStyle w:val="KeinLeerraum"/>
        <w:rPr>
          <w:rFonts w:cs="Times New Roman"/>
        </w:rPr>
      </w:pPr>
    </w:p>
    <w:p w:rsidR="005027C3" w:rsidRDefault="000B50DC" w:rsidP="009A5D8D">
      <w:pPr>
        <w:pStyle w:val="KeinLeerraum"/>
        <w:rPr>
          <w:rFonts w:cs="Times New Roman"/>
        </w:rPr>
      </w:pPr>
      <w:r w:rsidRPr="000B50DC">
        <w:rPr>
          <w:rFonts w:cs="Times New Roman"/>
        </w:rPr>
        <w:t xml:space="preserve">Das </w:t>
      </w:r>
      <w:r w:rsidRPr="000B50DC">
        <w:rPr>
          <w:rFonts w:cs="Times New Roman"/>
          <w:b/>
        </w:rPr>
        <w:t>Amtsgericht Berlin-Charlottenburg</w:t>
      </w:r>
      <w:r w:rsidRPr="000B50DC">
        <w:rPr>
          <w:rFonts w:cs="Times New Roman"/>
        </w:rPr>
        <w:t xml:space="preserve"> hat mit Urteil vom 21.02.2018 entschieden, dass eine </w:t>
      </w:r>
      <w:r w:rsidRPr="006C63AC">
        <w:rPr>
          <w:rFonts w:cs="Times New Roman"/>
          <w:i/>
        </w:rPr>
        <w:t>Notdienstpauschale</w:t>
      </w:r>
      <w:r w:rsidRPr="000B50DC">
        <w:rPr>
          <w:rFonts w:cs="Times New Roman"/>
        </w:rPr>
        <w:t>, womit anteilig diej</w:t>
      </w:r>
      <w:r w:rsidRPr="000B50DC">
        <w:rPr>
          <w:rFonts w:cs="Times New Roman"/>
        </w:rPr>
        <w:t>e</w:t>
      </w:r>
      <w:r w:rsidRPr="000B50DC">
        <w:rPr>
          <w:rFonts w:cs="Times New Roman"/>
        </w:rPr>
        <w:t>nigen Kosten abgedeckt werden sollen, die dafür anfallen, dass auch außerhalb der übl</w:t>
      </w:r>
      <w:r w:rsidRPr="000B50DC">
        <w:rPr>
          <w:rFonts w:cs="Times New Roman"/>
        </w:rPr>
        <w:t>i</w:t>
      </w:r>
      <w:r w:rsidRPr="000B50DC">
        <w:rPr>
          <w:rFonts w:cs="Times New Roman"/>
        </w:rPr>
        <w:t>chen Geschäftszeiten bei Schadensfällen, H</w:t>
      </w:r>
      <w:r w:rsidRPr="000B50DC">
        <w:rPr>
          <w:rFonts w:cs="Times New Roman"/>
        </w:rPr>
        <w:t>a</w:t>
      </w:r>
      <w:r w:rsidRPr="000B50DC">
        <w:rPr>
          <w:rFonts w:cs="Times New Roman"/>
        </w:rPr>
        <w:t>varien oder ähnlichen Notfällen eine Person erreichbar ist, nicht zu den auf den Mieter u</w:t>
      </w:r>
      <w:r w:rsidRPr="000B50DC">
        <w:rPr>
          <w:rFonts w:cs="Times New Roman"/>
        </w:rPr>
        <w:t>m</w:t>
      </w:r>
      <w:r w:rsidRPr="000B50DC">
        <w:rPr>
          <w:rFonts w:cs="Times New Roman"/>
        </w:rPr>
        <w:t xml:space="preserve">legbaren Betriebskosten gehören. Es handelt sich dabei um klassische </w:t>
      </w:r>
      <w:r w:rsidRPr="006C63AC">
        <w:rPr>
          <w:rFonts w:cs="Times New Roman"/>
          <w:i/>
        </w:rPr>
        <w:t>Bereitschaftskosten</w:t>
      </w:r>
      <w:r w:rsidRPr="000B50DC">
        <w:rPr>
          <w:rFonts w:cs="Times New Roman"/>
        </w:rPr>
        <w:t xml:space="preserve">, also um Verwaltungskosten. </w:t>
      </w:r>
    </w:p>
    <w:p w:rsidR="006C63AC" w:rsidRDefault="006C63AC" w:rsidP="009A5D8D">
      <w:pPr>
        <w:pStyle w:val="KeinLeerraum"/>
        <w:rPr>
          <w:rFonts w:cs="Times New Roman"/>
        </w:rPr>
      </w:pPr>
    </w:p>
    <w:p w:rsidR="006C63AC" w:rsidRDefault="006C63AC" w:rsidP="009A5D8D">
      <w:pPr>
        <w:pStyle w:val="KeinLeerraum"/>
        <w:rPr>
          <w:rFonts w:cs="Times New Roman"/>
        </w:rPr>
      </w:pPr>
      <w:r w:rsidRPr="006C63AC">
        <w:rPr>
          <w:rFonts w:cs="Times New Roman"/>
        </w:rPr>
        <w:lastRenderedPageBreak/>
        <w:t xml:space="preserve">Der </w:t>
      </w:r>
      <w:r w:rsidRPr="006C63AC">
        <w:rPr>
          <w:rFonts w:cs="Times New Roman"/>
          <w:b/>
        </w:rPr>
        <w:t>BGH</w:t>
      </w:r>
      <w:r w:rsidRPr="006C63AC">
        <w:rPr>
          <w:rFonts w:cs="Times New Roman"/>
        </w:rPr>
        <w:t xml:space="preserve"> hat mit Urteil vom 23.03.2018 en</w:t>
      </w:r>
      <w:r w:rsidRPr="006C63AC">
        <w:rPr>
          <w:rFonts w:cs="Times New Roman"/>
        </w:rPr>
        <w:t>t</w:t>
      </w:r>
      <w:r w:rsidRPr="006C63AC">
        <w:rPr>
          <w:rFonts w:cs="Times New Roman"/>
        </w:rPr>
        <w:t>schieden, dass die Nutzung einer Teileige</w:t>
      </w:r>
      <w:r w:rsidRPr="006C63AC">
        <w:rPr>
          <w:rFonts w:cs="Times New Roman"/>
        </w:rPr>
        <w:t>n</w:t>
      </w:r>
      <w:r w:rsidRPr="006C63AC">
        <w:rPr>
          <w:rFonts w:cs="Times New Roman"/>
        </w:rPr>
        <w:t>tumseinheit zu Wohnzwecken in einem au</w:t>
      </w:r>
      <w:r w:rsidRPr="006C63AC">
        <w:rPr>
          <w:rFonts w:cs="Times New Roman"/>
        </w:rPr>
        <w:t>s</w:t>
      </w:r>
      <w:r w:rsidRPr="006C63AC">
        <w:rPr>
          <w:rFonts w:cs="Times New Roman"/>
        </w:rPr>
        <w:t>schließlich beruflichen und gewerblichen Zw</w:t>
      </w:r>
      <w:r w:rsidRPr="006C63AC">
        <w:rPr>
          <w:rFonts w:cs="Times New Roman"/>
        </w:rPr>
        <w:t>e</w:t>
      </w:r>
      <w:r w:rsidRPr="006C63AC">
        <w:rPr>
          <w:rFonts w:cs="Times New Roman"/>
        </w:rPr>
        <w:t>cken dienenden Gebäude bei typisierender Betrachtung regelmäßig schon deshalb störe</w:t>
      </w:r>
      <w:r w:rsidRPr="006C63AC">
        <w:rPr>
          <w:rFonts w:cs="Times New Roman"/>
        </w:rPr>
        <w:t>n</w:t>
      </w:r>
      <w:r w:rsidRPr="006C63AC">
        <w:rPr>
          <w:rFonts w:cs="Times New Roman"/>
        </w:rPr>
        <w:t>der als die vorgesehene Nutzung ist, weil eine Wohnnutzung mit typischen Wohnemissionen sowie einem anderen Gebrauch des Gemei</w:t>
      </w:r>
      <w:r w:rsidRPr="006C63AC">
        <w:rPr>
          <w:rFonts w:cs="Times New Roman"/>
        </w:rPr>
        <w:t>n</w:t>
      </w:r>
      <w:r w:rsidRPr="006C63AC">
        <w:rPr>
          <w:rFonts w:cs="Times New Roman"/>
        </w:rPr>
        <w:t>schaftseigentums einhergeht und zu anderen Zeiten – nämlich ganztägig und auch am W</w:t>
      </w:r>
      <w:r w:rsidRPr="006C63AC">
        <w:rPr>
          <w:rFonts w:cs="Times New Roman"/>
        </w:rPr>
        <w:t>o</w:t>
      </w:r>
      <w:r w:rsidRPr="006C63AC">
        <w:rPr>
          <w:rFonts w:cs="Times New Roman"/>
        </w:rPr>
        <w:t>chenende – erfolgt. Die Teileigentümer haben ein berechtigtes Interesse daran, dass der pr</w:t>
      </w:r>
      <w:r w:rsidRPr="006C63AC">
        <w:rPr>
          <w:rFonts w:cs="Times New Roman"/>
        </w:rPr>
        <w:t>o</w:t>
      </w:r>
      <w:r w:rsidRPr="006C63AC">
        <w:rPr>
          <w:rFonts w:cs="Times New Roman"/>
        </w:rPr>
        <w:t>fessionelle Charakter einer derartigen Anlage erhalten bleibt, um Konflikte, die durch eine in der Teilungserklärung nicht angelegte g</w:t>
      </w:r>
      <w:r w:rsidRPr="006C63AC">
        <w:rPr>
          <w:rFonts w:cs="Times New Roman"/>
        </w:rPr>
        <w:t>e</w:t>
      </w:r>
      <w:r w:rsidRPr="006C63AC">
        <w:rPr>
          <w:rFonts w:cs="Times New Roman"/>
        </w:rPr>
        <w:t>mischte Nutzung hervorgerufen werden kö</w:t>
      </w:r>
      <w:r w:rsidRPr="006C63AC">
        <w:rPr>
          <w:rFonts w:cs="Times New Roman"/>
        </w:rPr>
        <w:t>n</w:t>
      </w:r>
      <w:r w:rsidRPr="006C63AC">
        <w:rPr>
          <w:rFonts w:cs="Times New Roman"/>
        </w:rPr>
        <w:t>nen, von vornherein zu vermeiden. Eine Unte</w:t>
      </w:r>
      <w:r w:rsidRPr="006C63AC">
        <w:rPr>
          <w:rFonts w:cs="Times New Roman"/>
        </w:rPr>
        <w:t>r</w:t>
      </w:r>
      <w:r w:rsidRPr="006C63AC">
        <w:rPr>
          <w:rFonts w:cs="Times New Roman"/>
        </w:rPr>
        <w:t>lassungsklage, mit der sich Wohnungseige</w:t>
      </w:r>
      <w:r w:rsidRPr="006C63AC">
        <w:rPr>
          <w:rFonts w:cs="Times New Roman"/>
        </w:rPr>
        <w:t>n</w:t>
      </w:r>
      <w:r w:rsidRPr="006C63AC">
        <w:rPr>
          <w:rFonts w:cs="Times New Roman"/>
        </w:rPr>
        <w:t>tümer gegen die zweckwidrige Nutzung einer Einheit wenden, kann der Beklagten nicht im Wege der Einrede entgegenhalten, dass er die Änderung der in der Gemeinschaftsordnung enthaltenen Nutzungsregelung beanspruchen kann. Grundsätzlich muss derjenige, der gegen den Willen der übrigen Wohnungseigentümer die Anpassung der Nutzungsregelung erreichen will, eine darauf gerichtete Klage erheben und darf die neue Nutzung erst dann aufnehmen, wenn er ein rechtskräftiges Urteil zu seinen Gunsten erstritten hat.</w:t>
      </w:r>
    </w:p>
    <w:p w:rsidR="006C63AC" w:rsidRDefault="006C63AC" w:rsidP="009A5D8D">
      <w:pPr>
        <w:pStyle w:val="KeinLeerraum"/>
        <w:rPr>
          <w:rFonts w:cs="Times New Roman"/>
        </w:rPr>
      </w:pPr>
    </w:p>
    <w:p w:rsidR="006C63AC" w:rsidRDefault="008D3683" w:rsidP="009A5D8D">
      <w:pPr>
        <w:pStyle w:val="KeinLeerraum"/>
        <w:rPr>
          <w:rFonts w:cs="Times New Roman"/>
        </w:rPr>
      </w:pPr>
      <w:r w:rsidRPr="008D3683">
        <w:rPr>
          <w:rFonts w:cs="Times New Roman"/>
        </w:rPr>
        <w:t xml:space="preserve">Der </w:t>
      </w:r>
      <w:r w:rsidRPr="008D3683">
        <w:rPr>
          <w:rFonts w:cs="Times New Roman"/>
          <w:b/>
        </w:rPr>
        <w:t>BGH</w:t>
      </w:r>
      <w:r w:rsidRPr="008D3683">
        <w:rPr>
          <w:rFonts w:cs="Times New Roman"/>
        </w:rPr>
        <w:t xml:space="preserve"> hat mit Urteil vom 19.09.2018 en</w:t>
      </w:r>
      <w:r w:rsidRPr="008D3683">
        <w:rPr>
          <w:rFonts w:cs="Times New Roman"/>
        </w:rPr>
        <w:t>t</w:t>
      </w:r>
      <w:r w:rsidRPr="008D3683">
        <w:rPr>
          <w:rFonts w:cs="Times New Roman"/>
        </w:rPr>
        <w:t>schieden, dass die fristlose Kündigung eines Wohnraummietverhältnisses mit einer hilf</w:t>
      </w:r>
      <w:r w:rsidRPr="008D3683">
        <w:rPr>
          <w:rFonts w:cs="Times New Roman"/>
        </w:rPr>
        <w:t>s</w:t>
      </w:r>
      <w:r w:rsidRPr="008D3683">
        <w:rPr>
          <w:rFonts w:cs="Times New Roman"/>
        </w:rPr>
        <w:t>weise erklärten ordentlichen Kündigung ve</w:t>
      </w:r>
      <w:r w:rsidRPr="008D3683">
        <w:rPr>
          <w:rFonts w:cs="Times New Roman"/>
        </w:rPr>
        <w:t>r</w:t>
      </w:r>
      <w:r w:rsidRPr="008D3683">
        <w:rPr>
          <w:rFonts w:cs="Times New Roman"/>
        </w:rPr>
        <w:t xml:space="preserve">bunden werden kann, ohne dass die ordentliche Kündigung wegen der Gestaltungswirkung der fristlosen Kündigung ins Leere liefe. </w:t>
      </w:r>
      <w:r>
        <w:rPr>
          <w:rFonts w:cs="Times New Roman"/>
        </w:rPr>
        <w:t xml:space="preserve"> </w:t>
      </w:r>
      <w:r w:rsidRPr="008D3683">
        <w:rPr>
          <w:rFonts w:cs="Times New Roman"/>
        </w:rPr>
        <w:t>Dies hat der Bundesgerichtshof in zwei Fällen entschi</w:t>
      </w:r>
      <w:r w:rsidRPr="008D3683">
        <w:rPr>
          <w:rFonts w:cs="Times New Roman"/>
        </w:rPr>
        <w:t>e</w:t>
      </w:r>
      <w:r w:rsidRPr="008D3683">
        <w:rPr>
          <w:rFonts w:cs="Times New Roman"/>
        </w:rPr>
        <w:t>den, in denen die Kündigungen jeweils wegen Mietrückständen erfolgt waren, die die Mieter nach Zugang der Kündigungen jeweils begl</w:t>
      </w:r>
      <w:r w:rsidRPr="008D3683">
        <w:rPr>
          <w:rFonts w:cs="Times New Roman"/>
        </w:rPr>
        <w:t>i</w:t>
      </w:r>
      <w:r w:rsidRPr="008D3683">
        <w:rPr>
          <w:rFonts w:cs="Times New Roman"/>
        </w:rPr>
        <w:t>chen hatten. Ein vom Mieter herbeigeführte</w:t>
      </w:r>
      <w:r>
        <w:rPr>
          <w:rFonts w:cs="Times New Roman"/>
        </w:rPr>
        <w:t>r</w:t>
      </w:r>
      <w:r w:rsidRPr="008D3683">
        <w:rPr>
          <w:rFonts w:cs="Times New Roman"/>
        </w:rPr>
        <w:t xml:space="preserve"> Ausgleich der Rückstände lasse die durch eine außerordentliche fristlose Kündigung wegen Zahlungsverzugs mit ihrem Zugang herbeig</w:t>
      </w:r>
      <w:r w:rsidRPr="008D3683">
        <w:rPr>
          <w:rFonts w:cs="Times New Roman"/>
        </w:rPr>
        <w:t>e</w:t>
      </w:r>
      <w:r w:rsidRPr="008D3683">
        <w:rPr>
          <w:rFonts w:cs="Times New Roman"/>
        </w:rPr>
        <w:t>führte sofortige Beendigung des Mietverhäl</w:t>
      </w:r>
      <w:r w:rsidRPr="008D3683">
        <w:rPr>
          <w:rFonts w:cs="Times New Roman"/>
        </w:rPr>
        <w:t>t</w:t>
      </w:r>
      <w:r w:rsidRPr="008D3683">
        <w:rPr>
          <w:rFonts w:cs="Times New Roman"/>
        </w:rPr>
        <w:t>nisses nachträglich rückwirkend entfallen. In einer solchen Situation kommt eine gleichze</w:t>
      </w:r>
      <w:r w:rsidRPr="008D3683">
        <w:rPr>
          <w:rFonts w:cs="Times New Roman"/>
        </w:rPr>
        <w:t>i</w:t>
      </w:r>
      <w:r w:rsidRPr="008D3683">
        <w:rPr>
          <w:rFonts w:cs="Times New Roman"/>
        </w:rPr>
        <w:t>tig mit der fristlosen Kündigung wegen Za</w:t>
      </w:r>
      <w:r w:rsidRPr="008D3683">
        <w:rPr>
          <w:rFonts w:cs="Times New Roman"/>
        </w:rPr>
        <w:t>h</w:t>
      </w:r>
      <w:r w:rsidRPr="008D3683">
        <w:rPr>
          <w:rFonts w:cs="Times New Roman"/>
        </w:rPr>
        <w:t>lungsverzugs hilfsweise ausgesprochene o</w:t>
      </w:r>
      <w:r w:rsidRPr="008D3683">
        <w:rPr>
          <w:rFonts w:cs="Times New Roman"/>
        </w:rPr>
        <w:t>r</w:t>
      </w:r>
      <w:r w:rsidRPr="008D3683">
        <w:rPr>
          <w:rFonts w:cs="Times New Roman"/>
        </w:rPr>
        <w:t>dentliche Kündigung zur Geltung. Denn ein Vermieter, denn neben einer fristlosen Künd</w:t>
      </w:r>
      <w:r w:rsidRPr="008D3683">
        <w:rPr>
          <w:rFonts w:cs="Times New Roman"/>
        </w:rPr>
        <w:t>i</w:t>
      </w:r>
      <w:r w:rsidRPr="008D3683">
        <w:rPr>
          <w:rFonts w:cs="Times New Roman"/>
        </w:rPr>
        <w:t>gung hilfsweise oder vorsorglich eine ordentl</w:t>
      </w:r>
      <w:r w:rsidRPr="008D3683">
        <w:rPr>
          <w:rFonts w:cs="Times New Roman"/>
        </w:rPr>
        <w:t>i</w:t>
      </w:r>
      <w:r w:rsidRPr="008D3683">
        <w:rPr>
          <w:rFonts w:cs="Times New Roman"/>
        </w:rPr>
        <w:t xml:space="preserve">che Kündigung wegen eines aufgelaufenen </w:t>
      </w:r>
      <w:r w:rsidRPr="008D3683">
        <w:rPr>
          <w:rFonts w:cs="Times New Roman"/>
        </w:rPr>
        <w:lastRenderedPageBreak/>
        <w:t>Zahlungsrückstandes ausspricht, erkläre diese nicht nur für den Fall einer bereits bei Zugang des Kündigungsschreibens gegebenen Unwir</w:t>
      </w:r>
      <w:r w:rsidRPr="008D3683">
        <w:rPr>
          <w:rFonts w:cs="Times New Roman"/>
        </w:rPr>
        <w:t>k</w:t>
      </w:r>
      <w:r w:rsidRPr="008D3683">
        <w:rPr>
          <w:rFonts w:cs="Times New Roman"/>
        </w:rPr>
        <w:t>samkeit der vorrangig erfolgten fristlosen Kündigung. Vielmehr bringt er damit aus o</w:t>
      </w:r>
      <w:r w:rsidRPr="008D3683">
        <w:rPr>
          <w:rFonts w:cs="Times New Roman"/>
        </w:rPr>
        <w:t>b</w:t>
      </w:r>
      <w:r w:rsidRPr="008D3683">
        <w:rPr>
          <w:rFonts w:cs="Times New Roman"/>
        </w:rPr>
        <w:t>jektiver M</w:t>
      </w:r>
      <w:r>
        <w:rPr>
          <w:rFonts w:cs="Times New Roman"/>
        </w:rPr>
        <w:t>ieters</w:t>
      </w:r>
      <w:r w:rsidRPr="008D3683">
        <w:rPr>
          <w:rFonts w:cs="Times New Roman"/>
        </w:rPr>
        <w:t>icht regelmäßig weiterhin zum Ausdruck, dass die ordentliche Künd</w:t>
      </w:r>
      <w:r w:rsidRPr="008D3683">
        <w:rPr>
          <w:rFonts w:cs="Times New Roman"/>
        </w:rPr>
        <w:t>i</w:t>
      </w:r>
      <w:r w:rsidRPr="008D3683">
        <w:rPr>
          <w:rFonts w:cs="Times New Roman"/>
        </w:rPr>
        <w:t>gung auch dann zum Zuge kommen soll, wenn die zunächst wirksam erklärte fristlose Künd</w:t>
      </w:r>
      <w:r w:rsidRPr="008D3683">
        <w:rPr>
          <w:rFonts w:cs="Times New Roman"/>
        </w:rPr>
        <w:t>i</w:t>
      </w:r>
      <w:r w:rsidRPr="008D3683">
        <w:rPr>
          <w:rFonts w:cs="Times New Roman"/>
        </w:rPr>
        <w:t xml:space="preserve">gung durch unverzügliche Zahlung des Mieters in der Schonfrist nachträglich unwirksam wird. </w:t>
      </w:r>
    </w:p>
    <w:p w:rsidR="008D3683" w:rsidRDefault="008D3683" w:rsidP="009A5D8D">
      <w:pPr>
        <w:pStyle w:val="KeinLeerraum"/>
        <w:rPr>
          <w:rFonts w:cs="Times New Roman"/>
        </w:rPr>
      </w:pPr>
    </w:p>
    <w:p w:rsidR="008D3683" w:rsidRDefault="008D3683" w:rsidP="009A5D8D">
      <w:pPr>
        <w:pStyle w:val="KeinLeerraum"/>
        <w:rPr>
          <w:rFonts w:cs="Times New Roman"/>
        </w:rPr>
      </w:pPr>
      <w:bookmarkStart w:id="0" w:name="_GoBack"/>
      <w:bookmarkEnd w:id="0"/>
    </w:p>
    <w:p w:rsidR="00107AE4" w:rsidRDefault="00256516" w:rsidP="009A5D8D">
      <w:pPr>
        <w:pStyle w:val="KeinLeerraum"/>
        <w:rPr>
          <w:rFonts w:cs="Times New Roman"/>
        </w:rPr>
      </w:pPr>
      <w:r w:rsidRPr="00421B19">
        <w:rPr>
          <w:noProof/>
          <w:lang w:eastAsia="de-DE"/>
        </w:rPr>
        <mc:AlternateContent>
          <mc:Choice Requires="wps">
            <w:drawing>
              <wp:anchor distT="0" distB="0" distL="114300" distR="114300" simplePos="0" relativeHeight="251661312" behindDoc="0" locked="0" layoutInCell="1" allowOverlap="1" wp14:anchorId="39D24783" wp14:editId="530E4B26">
                <wp:simplePos x="0" y="0"/>
                <wp:positionH relativeFrom="column">
                  <wp:posOffset>-62865</wp:posOffset>
                </wp:positionH>
                <wp:positionV relativeFrom="paragraph">
                  <wp:posOffset>113665</wp:posOffset>
                </wp:positionV>
                <wp:extent cx="2914650" cy="1993900"/>
                <wp:effectExtent l="0" t="0" r="19050" b="2540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993900"/>
                        </a:xfrm>
                        <a:prstGeom prst="rect">
                          <a:avLst/>
                        </a:prstGeom>
                        <a:solidFill>
                          <a:srgbClr val="FFFFFF"/>
                        </a:solidFill>
                        <a:ln w="9525">
                          <a:solidFill>
                            <a:srgbClr val="000000"/>
                          </a:solidFill>
                          <a:miter lim="800000"/>
                          <a:headEnd/>
                          <a:tailEnd/>
                        </a:ln>
                      </wps:spPr>
                      <wps:txbx>
                        <w:txbxContent>
                          <w:p w:rsidR="009A5D8D" w:rsidRDefault="009A5D8D" w:rsidP="009A5D8D">
                            <w:pPr>
                              <w:spacing w:after="0" w:line="240" w:lineRule="auto"/>
                              <w:jc w:val="center"/>
                              <w:rPr>
                                <w:rFonts w:ascii="Copperplate33BC" w:hAnsi="Copperplate33BC"/>
                              </w:rPr>
                            </w:pPr>
                            <w:r>
                              <w:rPr>
                                <w:rFonts w:ascii="Copperplate33BC" w:hAnsi="Copperplate33BC"/>
                              </w:rPr>
                              <w:t>Luithlen  &amp;  v. Stackelberg</w:t>
                            </w:r>
                          </w:p>
                          <w:p w:rsidR="009A5D8D" w:rsidRPr="00C56C01" w:rsidRDefault="009A5D8D" w:rsidP="009A5D8D">
                            <w:pPr>
                              <w:spacing w:after="0" w:line="240" w:lineRule="auto"/>
                              <w:jc w:val="center"/>
                              <w:rPr>
                                <w:rFonts w:ascii="Copperplate32BC" w:hAnsi="Copperplate32BC"/>
                                <w:sz w:val="20"/>
                              </w:rPr>
                            </w:pPr>
                            <w:r w:rsidRPr="00C56C01">
                              <w:rPr>
                                <w:rFonts w:ascii="Copperplate32BC" w:hAnsi="Copperplate32BC"/>
                                <w:sz w:val="20"/>
                              </w:rPr>
                              <w:t>Rechtsanwälte</w:t>
                            </w:r>
                          </w:p>
                          <w:p w:rsidR="009A5D8D" w:rsidRPr="00C56C01" w:rsidRDefault="009A5D8D" w:rsidP="009A5D8D">
                            <w:pPr>
                              <w:spacing w:after="0" w:line="240" w:lineRule="auto"/>
                              <w:rPr>
                                <w:rFonts w:ascii="Copperplate32BC" w:hAnsi="Copperplate32BC"/>
                                <w:sz w:val="16"/>
                              </w:rPr>
                            </w:pPr>
                          </w:p>
                          <w:p w:rsidR="009A5D8D" w:rsidRDefault="009A5D8D" w:rsidP="009A5D8D">
                            <w:pPr>
                              <w:spacing w:after="0" w:line="120" w:lineRule="exact"/>
                              <w:rPr>
                                <w:rFonts w:ascii="Copperplate32BC" w:hAnsi="Copperplate32BC"/>
                                <w:sz w:val="16"/>
                              </w:rPr>
                            </w:pPr>
                            <w:r w:rsidRPr="00C56C01">
                              <w:rPr>
                                <w:rFonts w:ascii="Copperplate32BC" w:hAnsi="Copperplate32BC"/>
                                <w:sz w:val="16"/>
                              </w:rPr>
                              <w:t>Dr. Jens Becker Platen</w:t>
                            </w:r>
                          </w:p>
                          <w:p w:rsidR="009A5D8D" w:rsidRDefault="009A5D8D" w:rsidP="009A5D8D">
                            <w:pPr>
                              <w:spacing w:after="0" w:line="120" w:lineRule="exact"/>
                              <w:rPr>
                                <w:rFonts w:cs="Times New Roman"/>
                                <w:sz w:val="12"/>
                              </w:rPr>
                            </w:pPr>
                            <w:r>
                              <w:rPr>
                                <w:rFonts w:cs="Times New Roman"/>
                                <w:sz w:val="12"/>
                              </w:rPr>
                              <w:t xml:space="preserve">        </w:t>
                            </w:r>
                            <w:r w:rsidRPr="00C56C01">
                              <w:rPr>
                                <w:rFonts w:cs="Times New Roman"/>
                                <w:sz w:val="12"/>
                              </w:rPr>
                              <w:t>Rechtsanwalt, Fachanwalt für Sozialrecht</w:t>
                            </w:r>
                          </w:p>
                          <w:p w:rsidR="009A5D8D" w:rsidRPr="00745155" w:rsidRDefault="009A5D8D" w:rsidP="009A5D8D">
                            <w:pPr>
                              <w:spacing w:after="0" w:line="240" w:lineRule="auto"/>
                              <w:rPr>
                                <w:rFonts w:cs="Times New Roman"/>
                                <w:sz w:val="6"/>
                              </w:rPr>
                            </w:pPr>
                          </w:p>
                          <w:p w:rsidR="009A5D8D" w:rsidRPr="00C56C01" w:rsidRDefault="009A5D8D" w:rsidP="009A5D8D">
                            <w:pPr>
                              <w:spacing w:after="0" w:line="120" w:lineRule="exact"/>
                              <w:rPr>
                                <w:rFonts w:ascii="Copperplate32BC" w:hAnsi="Copperplate32BC"/>
                                <w:sz w:val="16"/>
                              </w:rPr>
                            </w:pPr>
                            <w:r w:rsidRPr="00C56C01">
                              <w:rPr>
                                <w:rFonts w:ascii="Copperplate32BC" w:hAnsi="Copperplate32BC"/>
                                <w:sz w:val="16"/>
                              </w:rPr>
                              <w:t>Michaela Schmidt-Eberth</w:t>
                            </w:r>
                          </w:p>
                          <w:p w:rsidR="009A5D8D" w:rsidRDefault="009A5D8D" w:rsidP="009A5D8D">
                            <w:pPr>
                              <w:spacing w:after="0" w:line="120" w:lineRule="exact"/>
                              <w:rPr>
                                <w:rFonts w:cs="Times New Roman"/>
                                <w:sz w:val="12"/>
                              </w:rPr>
                            </w:pPr>
                            <w:r>
                              <w:rPr>
                                <w:rFonts w:cs="Times New Roman"/>
                                <w:sz w:val="12"/>
                              </w:rPr>
                              <w:t xml:space="preserve">        </w:t>
                            </w:r>
                            <w:r w:rsidRPr="00C56C01">
                              <w:rPr>
                                <w:rFonts w:cs="Times New Roman"/>
                                <w:sz w:val="12"/>
                              </w:rPr>
                              <w:t xml:space="preserve">Rechtsanwältin, Fachanwältin für </w:t>
                            </w:r>
                            <w:r>
                              <w:rPr>
                                <w:rFonts w:cs="Times New Roman"/>
                                <w:sz w:val="12"/>
                              </w:rPr>
                              <w:t>Familien- und Strafrecht</w:t>
                            </w:r>
                            <w:r w:rsidRPr="00C56C01">
                              <w:rPr>
                                <w:rFonts w:cs="Times New Roman"/>
                                <w:sz w:val="12"/>
                              </w:rPr>
                              <w:t>, Mediatorin</w:t>
                            </w:r>
                          </w:p>
                          <w:p w:rsidR="009A5D8D" w:rsidRPr="00745155" w:rsidRDefault="009A5D8D" w:rsidP="009A5D8D">
                            <w:pPr>
                              <w:spacing w:after="0" w:line="240" w:lineRule="auto"/>
                              <w:rPr>
                                <w:rFonts w:cs="Times New Roman"/>
                                <w:sz w:val="6"/>
                              </w:rPr>
                            </w:pPr>
                          </w:p>
                          <w:p w:rsidR="009A5D8D" w:rsidRPr="00C56C01" w:rsidRDefault="009A5D8D" w:rsidP="009A5D8D">
                            <w:pPr>
                              <w:spacing w:after="0" w:line="120" w:lineRule="exact"/>
                              <w:rPr>
                                <w:rFonts w:ascii="Copperplate32BC" w:hAnsi="Copperplate32BC"/>
                                <w:sz w:val="16"/>
                              </w:rPr>
                            </w:pPr>
                            <w:r w:rsidRPr="00C56C01">
                              <w:rPr>
                                <w:rFonts w:ascii="Copperplate32BC" w:hAnsi="Copperplate32BC"/>
                                <w:sz w:val="16"/>
                              </w:rPr>
                              <w:t>Michael Hopp</w:t>
                            </w:r>
                          </w:p>
                          <w:p w:rsidR="009A5D8D" w:rsidRDefault="009A5D8D" w:rsidP="009A5D8D">
                            <w:pPr>
                              <w:spacing w:after="0" w:line="120" w:lineRule="exact"/>
                              <w:rPr>
                                <w:rFonts w:cs="Times New Roman"/>
                                <w:sz w:val="12"/>
                              </w:rPr>
                            </w:pPr>
                            <w:r>
                              <w:rPr>
                                <w:rFonts w:cs="Times New Roman"/>
                                <w:sz w:val="12"/>
                              </w:rPr>
                              <w:t xml:space="preserve">        </w:t>
                            </w:r>
                            <w:r w:rsidRPr="00C56C01">
                              <w:rPr>
                                <w:rFonts w:cs="Times New Roman"/>
                                <w:sz w:val="12"/>
                              </w:rPr>
                              <w:t>Rechtsanwalt, Fachanwalt für Erbrecht</w:t>
                            </w:r>
                          </w:p>
                          <w:p w:rsidR="009A5D8D" w:rsidRPr="00745155" w:rsidRDefault="009A5D8D" w:rsidP="009A5D8D">
                            <w:pPr>
                              <w:spacing w:after="0" w:line="240" w:lineRule="auto"/>
                              <w:rPr>
                                <w:rFonts w:cs="Times New Roman"/>
                                <w:sz w:val="6"/>
                              </w:rPr>
                            </w:pPr>
                          </w:p>
                          <w:p w:rsidR="009A5D8D" w:rsidRPr="00C56C01" w:rsidRDefault="009A5D8D" w:rsidP="009A5D8D">
                            <w:pPr>
                              <w:spacing w:after="0" w:line="120" w:lineRule="exact"/>
                              <w:rPr>
                                <w:rFonts w:ascii="Copperplate32BC" w:hAnsi="Copperplate32BC"/>
                                <w:sz w:val="16"/>
                              </w:rPr>
                            </w:pPr>
                            <w:r w:rsidRPr="00C56C01">
                              <w:rPr>
                                <w:rFonts w:ascii="Copperplate32BC" w:hAnsi="Copperplate32BC"/>
                                <w:sz w:val="16"/>
                              </w:rPr>
                              <w:t>Heinrich Frhr. v. Stackelberg</w:t>
                            </w:r>
                          </w:p>
                          <w:p w:rsidR="009A5D8D" w:rsidRDefault="009A5D8D" w:rsidP="009A5D8D">
                            <w:pPr>
                              <w:spacing w:after="0" w:line="120" w:lineRule="exact"/>
                              <w:rPr>
                                <w:rFonts w:cs="Times New Roman"/>
                                <w:sz w:val="12"/>
                              </w:rPr>
                            </w:pPr>
                            <w:r>
                              <w:rPr>
                                <w:rFonts w:cs="Times New Roman"/>
                                <w:sz w:val="12"/>
                              </w:rPr>
                              <w:t xml:space="preserve">        Rechtsanwalt,</w:t>
                            </w:r>
                          </w:p>
                          <w:p w:rsidR="009A5D8D" w:rsidRPr="00745155" w:rsidRDefault="009A5D8D" w:rsidP="009A5D8D">
                            <w:pPr>
                              <w:spacing w:after="0" w:line="120" w:lineRule="exact"/>
                              <w:rPr>
                                <w:rFonts w:cs="Times New Roman"/>
                                <w:sz w:val="6"/>
                              </w:rPr>
                            </w:pPr>
                          </w:p>
                          <w:p w:rsidR="009A5D8D" w:rsidRDefault="009A5D8D" w:rsidP="009A5D8D">
                            <w:pPr>
                              <w:spacing w:after="0" w:line="120" w:lineRule="exact"/>
                              <w:rPr>
                                <w:rFonts w:ascii="Copperplate32BC" w:hAnsi="Copperplate32BC"/>
                              </w:rPr>
                            </w:pPr>
                            <w:r w:rsidRPr="00C56C01">
                              <w:rPr>
                                <w:rFonts w:ascii="Copperplate32BC" w:hAnsi="Copperplate32BC"/>
                                <w:sz w:val="16"/>
                              </w:rPr>
                              <w:t>Thomas Luithlen</w:t>
                            </w:r>
                          </w:p>
                          <w:p w:rsidR="009A5D8D" w:rsidRDefault="009A5D8D" w:rsidP="009A5D8D">
                            <w:pPr>
                              <w:spacing w:after="0" w:line="120" w:lineRule="exact"/>
                              <w:rPr>
                                <w:rFonts w:cs="Times New Roman"/>
                                <w:sz w:val="12"/>
                              </w:rPr>
                            </w:pPr>
                            <w:r>
                              <w:rPr>
                                <w:rFonts w:cs="Times New Roman"/>
                                <w:sz w:val="12"/>
                              </w:rPr>
                              <w:t xml:space="preserve">        </w:t>
                            </w:r>
                            <w:r w:rsidRPr="00C56C01">
                              <w:rPr>
                                <w:rFonts w:cs="Times New Roman"/>
                                <w:sz w:val="12"/>
                              </w:rPr>
                              <w:t>Rechtsanwalt</w:t>
                            </w:r>
                          </w:p>
                          <w:p w:rsidR="009A5D8D" w:rsidRPr="00745155" w:rsidRDefault="009A5D8D" w:rsidP="009A5D8D">
                            <w:pPr>
                              <w:spacing w:after="0" w:line="240" w:lineRule="auto"/>
                              <w:rPr>
                                <w:rFonts w:ascii="Copperplate32BC" w:hAnsi="Copperplate32BC"/>
                                <w:sz w:val="14"/>
                              </w:rPr>
                            </w:pPr>
                          </w:p>
                          <w:p w:rsidR="009A5D8D" w:rsidRPr="00C56C01" w:rsidRDefault="009A5D8D" w:rsidP="009A5D8D">
                            <w:pPr>
                              <w:spacing w:after="0" w:line="240" w:lineRule="auto"/>
                              <w:jc w:val="center"/>
                              <w:rPr>
                                <w:rFonts w:ascii="Copperplate32BC" w:hAnsi="Copperplate32BC"/>
                                <w:sz w:val="16"/>
                              </w:rPr>
                            </w:pPr>
                            <w:r w:rsidRPr="00C56C01">
                              <w:rPr>
                                <w:rFonts w:ascii="Copperplate32BC" w:hAnsi="Copperplate32BC"/>
                                <w:sz w:val="16"/>
                              </w:rPr>
                              <w:t>Karl-Lederer-Platz 13</w:t>
                            </w:r>
                            <w:r>
                              <w:rPr>
                                <w:rFonts w:ascii="Copperplate32BC" w:hAnsi="Copperplate32BC"/>
                                <w:sz w:val="16"/>
                              </w:rPr>
                              <w:t xml:space="preserve">,   </w:t>
                            </w:r>
                            <w:r w:rsidRPr="00C56C01">
                              <w:rPr>
                                <w:rFonts w:ascii="Copperplate32BC" w:hAnsi="Copperplate32BC"/>
                                <w:sz w:val="16"/>
                              </w:rPr>
                              <w:t>82538 Geretsried</w:t>
                            </w:r>
                          </w:p>
                          <w:p w:rsidR="009A5D8D" w:rsidRPr="00C56C01" w:rsidRDefault="009A5D8D" w:rsidP="009A5D8D">
                            <w:pPr>
                              <w:spacing w:after="0" w:line="240" w:lineRule="auto"/>
                              <w:jc w:val="center"/>
                              <w:rPr>
                                <w:rFonts w:ascii="Copperplate32BC" w:hAnsi="Copperplate32BC"/>
                                <w:sz w:val="16"/>
                              </w:rPr>
                            </w:pPr>
                            <w:r w:rsidRPr="00C56C01">
                              <w:rPr>
                                <w:rFonts w:ascii="Copperplate32BC" w:hAnsi="Copperplate32BC"/>
                                <w:sz w:val="16"/>
                              </w:rPr>
                              <w:t>Tel.: 08171 – 93 99 3</w:t>
                            </w:r>
                            <w:r>
                              <w:rPr>
                                <w:rFonts w:ascii="Copperplate32BC" w:hAnsi="Copperplate32BC"/>
                                <w:sz w:val="16"/>
                              </w:rPr>
                              <w:t xml:space="preserve">   </w:t>
                            </w:r>
                            <w:r w:rsidRPr="00C56C01">
                              <w:rPr>
                                <w:rFonts w:ascii="Copperplate32BC" w:hAnsi="Copperplate32BC"/>
                                <w:sz w:val="16"/>
                              </w:rPr>
                              <w:t>Fax: 08171 – 93 99 50</w:t>
                            </w:r>
                          </w:p>
                          <w:p w:rsidR="009A5D8D" w:rsidRPr="00C56C01" w:rsidRDefault="009A5D8D" w:rsidP="009A5D8D">
                            <w:pPr>
                              <w:spacing w:after="0" w:line="240" w:lineRule="auto"/>
                              <w:jc w:val="center"/>
                              <w:rPr>
                                <w:rFonts w:ascii="Copperplate32BC" w:hAnsi="Copperplate32BC"/>
                                <w:sz w:val="16"/>
                              </w:rPr>
                            </w:pPr>
                            <w:r w:rsidRPr="00C56C01">
                              <w:rPr>
                                <w:rFonts w:ascii="Copperplate32BC" w:hAnsi="Copperplate32BC"/>
                                <w:sz w:val="16"/>
                              </w:rPr>
                              <w:t>www.luithlen-stackelberg.de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95pt;margin-top:8.95pt;width:229.5pt;height:1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">
                <v:textbox>
                  <w:txbxContent>
                    <w:p w:rsidR="009A5D8D" w:rsidRDefault="009A5D8D" w:rsidP="009A5D8D">
                      <w:pPr>
                        <w:spacing w:after="0" w:line="240" w:lineRule="auto"/>
                        <w:jc w:val="center"/>
                        <w:rPr>
                          <w:rFonts w:ascii="Copperplate33BC" w:hAnsi="Copperplate33BC"/>
                        </w:rPr>
                      </w:pPr>
                      <w:r>
                        <w:rPr>
                          <w:rFonts w:ascii="Copperplate33BC" w:hAnsi="Copperplate33BC"/>
                        </w:rPr>
                        <w:t>Luithlen  &amp;  v. Stackelberg</w:t>
                      </w:r>
                    </w:p>
                    <w:p w:rsidR="009A5D8D" w:rsidRPr="00C56C01" w:rsidRDefault="009A5D8D" w:rsidP="009A5D8D">
                      <w:pPr>
                        <w:spacing w:after="0" w:line="240" w:lineRule="auto"/>
                        <w:jc w:val="center"/>
                        <w:rPr>
                          <w:rFonts w:ascii="Copperplate32BC" w:hAnsi="Copperplate32BC"/>
                          <w:sz w:val="20"/>
                        </w:rPr>
                      </w:pPr>
                      <w:r w:rsidRPr="00C56C01">
                        <w:rPr>
                          <w:rFonts w:ascii="Copperplate32BC" w:hAnsi="Copperplate32BC"/>
                          <w:sz w:val="20"/>
                        </w:rPr>
                        <w:t>Rechtsanwälte</w:t>
                      </w:r>
                    </w:p>
                    <w:p w:rsidR="009A5D8D" w:rsidRPr="00C56C01" w:rsidRDefault="009A5D8D" w:rsidP="009A5D8D">
                      <w:pPr>
                        <w:spacing w:after="0" w:line="240" w:lineRule="auto"/>
                        <w:rPr>
                          <w:rFonts w:ascii="Copperplate32BC" w:hAnsi="Copperplate32BC"/>
                          <w:sz w:val="16"/>
                        </w:rPr>
                      </w:pPr>
                    </w:p>
                    <w:p w:rsidR="009A5D8D" w:rsidRDefault="009A5D8D" w:rsidP="009A5D8D">
                      <w:pPr>
                        <w:spacing w:after="0" w:line="120" w:lineRule="exact"/>
                        <w:rPr>
                          <w:rFonts w:ascii="Copperplate32BC" w:hAnsi="Copperplate32BC"/>
                          <w:sz w:val="16"/>
                        </w:rPr>
                      </w:pPr>
                      <w:r w:rsidRPr="00C56C01">
                        <w:rPr>
                          <w:rFonts w:ascii="Copperplate32BC" w:hAnsi="Copperplate32BC"/>
                          <w:sz w:val="16"/>
                        </w:rPr>
                        <w:t>Dr. Jens Becker Platen</w:t>
                      </w:r>
                    </w:p>
                    <w:p w:rsidR="009A5D8D" w:rsidRDefault="009A5D8D" w:rsidP="009A5D8D">
                      <w:pPr>
                        <w:spacing w:after="0" w:line="120" w:lineRule="exact"/>
                        <w:rPr>
                          <w:rFonts w:cs="Times New Roman"/>
                          <w:sz w:val="12"/>
                        </w:rPr>
                      </w:pPr>
                      <w:r>
                        <w:rPr>
                          <w:rFonts w:cs="Times New Roman"/>
                          <w:sz w:val="12"/>
                        </w:rPr>
                        <w:t xml:space="preserve">        </w:t>
                      </w:r>
                      <w:r w:rsidRPr="00C56C01">
                        <w:rPr>
                          <w:rFonts w:cs="Times New Roman"/>
                          <w:sz w:val="12"/>
                        </w:rPr>
                        <w:t>Rechtsanwalt, Fachanwalt für Sozialrecht</w:t>
                      </w:r>
                    </w:p>
                    <w:p w:rsidR="009A5D8D" w:rsidRPr="00745155" w:rsidRDefault="009A5D8D" w:rsidP="009A5D8D">
                      <w:pPr>
                        <w:spacing w:after="0" w:line="240" w:lineRule="auto"/>
                        <w:rPr>
                          <w:rFonts w:cs="Times New Roman"/>
                          <w:sz w:val="6"/>
                        </w:rPr>
                      </w:pPr>
                    </w:p>
                    <w:p w:rsidR="009A5D8D" w:rsidRPr="00C56C01" w:rsidRDefault="009A5D8D" w:rsidP="009A5D8D">
                      <w:pPr>
                        <w:spacing w:after="0" w:line="120" w:lineRule="exact"/>
                        <w:rPr>
                          <w:rFonts w:ascii="Copperplate32BC" w:hAnsi="Copperplate32BC"/>
                          <w:sz w:val="16"/>
                        </w:rPr>
                      </w:pPr>
                      <w:r w:rsidRPr="00C56C01">
                        <w:rPr>
                          <w:rFonts w:ascii="Copperplate32BC" w:hAnsi="Copperplate32BC"/>
                          <w:sz w:val="16"/>
                        </w:rPr>
                        <w:t>Michaela Schmidt-Eberth</w:t>
                      </w:r>
                    </w:p>
                    <w:p w:rsidR="009A5D8D" w:rsidRDefault="009A5D8D" w:rsidP="009A5D8D">
                      <w:pPr>
                        <w:spacing w:after="0" w:line="120" w:lineRule="exact"/>
                        <w:rPr>
                          <w:rFonts w:cs="Times New Roman"/>
                          <w:sz w:val="12"/>
                        </w:rPr>
                      </w:pPr>
                      <w:r>
                        <w:rPr>
                          <w:rFonts w:cs="Times New Roman"/>
                          <w:sz w:val="12"/>
                        </w:rPr>
                        <w:t xml:space="preserve">        </w:t>
                      </w:r>
                      <w:r w:rsidRPr="00C56C01">
                        <w:rPr>
                          <w:rFonts w:cs="Times New Roman"/>
                          <w:sz w:val="12"/>
                        </w:rPr>
                        <w:t xml:space="preserve">Rechtsanwältin, Fachanwältin für </w:t>
                      </w:r>
                      <w:r>
                        <w:rPr>
                          <w:rFonts w:cs="Times New Roman"/>
                          <w:sz w:val="12"/>
                        </w:rPr>
                        <w:t>Familien- und Strafrecht</w:t>
                      </w:r>
                      <w:r w:rsidRPr="00C56C01">
                        <w:rPr>
                          <w:rFonts w:cs="Times New Roman"/>
                          <w:sz w:val="12"/>
                        </w:rPr>
                        <w:t>, Mediatorin</w:t>
                      </w:r>
                    </w:p>
                    <w:p w:rsidR="009A5D8D" w:rsidRPr="00745155" w:rsidRDefault="009A5D8D" w:rsidP="009A5D8D">
                      <w:pPr>
                        <w:spacing w:after="0" w:line="240" w:lineRule="auto"/>
                        <w:rPr>
                          <w:rFonts w:cs="Times New Roman"/>
                          <w:sz w:val="6"/>
                        </w:rPr>
                      </w:pPr>
                    </w:p>
                    <w:p w:rsidR="009A5D8D" w:rsidRPr="00C56C01" w:rsidRDefault="009A5D8D" w:rsidP="009A5D8D">
                      <w:pPr>
                        <w:spacing w:after="0" w:line="120" w:lineRule="exact"/>
                        <w:rPr>
                          <w:rFonts w:ascii="Copperplate32BC" w:hAnsi="Copperplate32BC"/>
                          <w:sz w:val="16"/>
                        </w:rPr>
                      </w:pPr>
                      <w:r w:rsidRPr="00C56C01">
                        <w:rPr>
                          <w:rFonts w:ascii="Copperplate32BC" w:hAnsi="Copperplate32BC"/>
                          <w:sz w:val="16"/>
                        </w:rPr>
                        <w:t>Michael Hopp</w:t>
                      </w:r>
                    </w:p>
                    <w:p w:rsidR="009A5D8D" w:rsidRDefault="009A5D8D" w:rsidP="009A5D8D">
                      <w:pPr>
                        <w:spacing w:after="0" w:line="120" w:lineRule="exact"/>
                        <w:rPr>
                          <w:rFonts w:cs="Times New Roman"/>
                          <w:sz w:val="12"/>
                        </w:rPr>
                      </w:pPr>
                      <w:r>
                        <w:rPr>
                          <w:rFonts w:cs="Times New Roman"/>
                          <w:sz w:val="12"/>
                        </w:rPr>
                        <w:t xml:space="preserve">        </w:t>
                      </w:r>
                      <w:r w:rsidRPr="00C56C01">
                        <w:rPr>
                          <w:rFonts w:cs="Times New Roman"/>
                          <w:sz w:val="12"/>
                        </w:rPr>
                        <w:t>Rechtsanwalt, Fachanwalt für Erbrecht</w:t>
                      </w:r>
                    </w:p>
                    <w:p w:rsidR="009A5D8D" w:rsidRPr="00745155" w:rsidRDefault="009A5D8D" w:rsidP="009A5D8D">
                      <w:pPr>
                        <w:spacing w:after="0" w:line="240" w:lineRule="auto"/>
                        <w:rPr>
                          <w:rFonts w:cs="Times New Roman"/>
                          <w:sz w:val="6"/>
                        </w:rPr>
                      </w:pPr>
                    </w:p>
                    <w:p w:rsidR="009A5D8D" w:rsidRPr="00C56C01" w:rsidRDefault="009A5D8D" w:rsidP="009A5D8D">
                      <w:pPr>
                        <w:spacing w:after="0" w:line="120" w:lineRule="exact"/>
                        <w:rPr>
                          <w:rFonts w:ascii="Copperplate32BC" w:hAnsi="Copperplate32BC"/>
                          <w:sz w:val="16"/>
                        </w:rPr>
                      </w:pPr>
                      <w:r w:rsidRPr="00C56C01">
                        <w:rPr>
                          <w:rFonts w:ascii="Copperplate32BC" w:hAnsi="Copperplate32BC"/>
                          <w:sz w:val="16"/>
                        </w:rPr>
                        <w:t>Heinrich Frhr. v. Stackelberg</w:t>
                      </w:r>
                    </w:p>
                    <w:p w:rsidR="009A5D8D" w:rsidRDefault="009A5D8D" w:rsidP="009A5D8D">
                      <w:pPr>
                        <w:spacing w:after="0" w:line="120" w:lineRule="exact"/>
                        <w:rPr>
                          <w:rFonts w:cs="Times New Roman"/>
                          <w:sz w:val="12"/>
                        </w:rPr>
                      </w:pPr>
                      <w:r>
                        <w:rPr>
                          <w:rFonts w:cs="Times New Roman"/>
                          <w:sz w:val="12"/>
                        </w:rPr>
                        <w:t xml:space="preserve">        Rechtsanwalt,</w:t>
                      </w:r>
                    </w:p>
                    <w:p w:rsidR="009A5D8D" w:rsidRPr="00745155" w:rsidRDefault="009A5D8D" w:rsidP="009A5D8D">
                      <w:pPr>
                        <w:spacing w:after="0" w:line="120" w:lineRule="exact"/>
                        <w:rPr>
                          <w:rFonts w:cs="Times New Roman"/>
                          <w:sz w:val="6"/>
                        </w:rPr>
                      </w:pPr>
                    </w:p>
                    <w:p w:rsidR="009A5D8D" w:rsidRDefault="009A5D8D" w:rsidP="009A5D8D">
                      <w:pPr>
                        <w:spacing w:after="0" w:line="120" w:lineRule="exact"/>
                        <w:rPr>
                          <w:rFonts w:ascii="Copperplate32BC" w:hAnsi="Copperplate32BC"/>
                        </w:rPr>
                      </w:pPr>
                      <w:r w:rsidRPr="00C56C01">
                        <w:rPr>
                          <w:rFonts w:ascii="Copperplate32BC" w:hAnsi="Copperplate32BC"/>
                          <w:sz w:val="16"/>
                        </w:rPr>
                        <w:t>Thomas Luithlen</w:t>
                      </w:r>
                    </w:p>
                    <w:p w:rsidR="009A5D8D" w:rsidRDefault="009A5D8D" w:rsidP="009A5D8D">
                      <w:pPr>
                        <w:spacing w:after="0" w:line="120" w:lineRule="exact"/>
                        <w:rPr>
                          <w:rFonts w:cs="Times New Roman"/>
                          <w:sz w:val="12"/>
                        </w:rPr>
                      </w:pPr>
                      <w:r>
                        <w:rPr>
                          <w:rFonts w:cs="Times New Roman"/>
                          <w:sz w:val="12"/>
                        </w:rPr>
                        <w:t xml:space="preserve">        </w:t>
                      </w:r>
                      <w:r w:rsidRPr="00C56C01">
                        <w:rPr>
                          <w:rFonts w:cs="Times New Roman"/>
                          <w:sz w:val="12"/>
                        </w:rPr>
                        <w:t>Rechtsanwalt</w:t>
                      </w:r>
                    </w:p>
                    <w:p w:rsidR="009A5D8D" w:rsidRPr="00745155" w:rsidRDefault="009A5D8D" w:rsidP="009A5D8D">
                      <w:pPr>
                        <w:spacing w:after="0" w:line="240" w:lineRule="auto"/>
                        <w:rPr>
                          <w:rFonts w:ascii="Copperplate32BC" w:hAnsi="Copperplate32BC"/>
                          <w:sz w:val="14"/>
                        </w:rPr>
                      </w:pPr>
                    </w:p>
                    <w:p w:rsidR="009A5D8D" w:rsidRPr="00C56C01" w:rsidRDefault="009A5D8D" w:rsidP="009A5D8D">
                      <w:pPr>
                        <w:spacing w:after="0" w:line="240" w:lineRule="auto"/>
                        <w:jc w:val="center"/>
                        <w:rPr>
                          <w:rFonts w:ascii="Copperplate32BC" w:hAnsi="Copperplate32BC"/>
                          <w:sz w:val="16"/>
                        </w:rPr>
                      </w:pPr>
                      <w:r w:rsidRPr="00C56C01">
                        <w:rPr>
                          <w:rFonts w:ascii="Copperplate32BC" w:hAnsi="Copperplate32BC"/>
                          <w:sz w:val="16"/>
                        </w:rPr>
                        <w:t>Karl-Lederer-Platz 13</w:t>
                      </w:r>
                      <w:r>
                        <w:rPr>
                          <w:rFonts w:ascii="Copperplate32BC" w:hAnsi="Copperplate32BC"/>
                          <w:sz w:val="16"/>
                        </w:rPr>
                        <w:t xml:space="preserve">,   </w:t>
                      </w:r>
                      <w:r w:rsidRPr="00C56C01">
                        <w:rPr>
                          <w:rFonts w:ascii="Copperplate32BC" w:hAnsi="Copperplate32BC"/>
                          <w:sz w:val="16"/>
                        </w:rPr>
                        <w:t>82538 Geretsried</w:t>
                      </w:r>
                    </w:p>
                    <w:p w:rsidR="009A5D8D" w:rsidRPr="00C56C01" w:rsidRDefault="009A5D8D" w:rsidP="009A5D8D">
                      <w:pPr>
                        <w:spacing w:after="0" w:line="240" w:lineRule="auto"/>
                        <w:jc w:val="center"/>
                        <w:rPr>
                          <w:rFonts w:ascii="Copperplate32BC" w:hAnsi="Copperplate32BC"/>
                          <w:sz w:val="16"/>
                        </w:rPr>
                      </w:pPr>
                      <w:r w:rsidRPr="00C56C01">
                        <w:rPr>
                          <w:rFonts w:ascii="Copperplate32BC" w:hAnsi="Copperplate32BC"/>
                          <w:sz w:val="16"/>
                        </w:rPr>
                        <w:t>Tel.: 08171 – 93 99 3</w:t>
                      </w:r>
                      <w:r>
                        <w:rPr>
                          <w:rFonts w:ascii="Copperplate32BC" w:hAnsi="Copperplate32BC"/>
                          <w:sz w:val="16"/>
                        </w:rPr>
                        <w:t xml:space="preserve">   </w:t>
                      </w:r>
                      <w:r w:rsidRPr="00C56C01">
                        <w:rPr>
                          <w:rFonts w:ascii="Copperplate32BC" w:hAnsi="Copperplate32BC"/>
                          <w:sz w:val="16"/>
                        </w:rPr>
                        <w:t>Fax: 08171 – 93 99 50</w:t>
                      </w:r>
                    </w:p>
                    <w:p w:rsidR="009A5D8D" w:rsidRPr="00C56C01" w:rsidRDefault="009A5D8D" w:rsidP="009A5D8D">
                      <w:pPr>
                        <w:spacing w:after="0" w:line="240" w:lineRule="auto"/>
                        <w:jc w:val="center"/>
                        <w:rPr>
                          <w:rFonts w:ascii="Copperplate32BC" w:hAnsi="Copperplate32BC"/>
                          <w:sz w:val="16"/>
                        </w:rPr>
                      </w:pPr>
                      <w:r w:rsidRPr="00C56C01">
                        <w:rPr>
                          <w:rFonts w:ascii="Copperplate32BC" w:hAnsi="Copperplate32BC"/>
                          <w:sz w:val="16"/>
                        </w:rPr>
                        <w:t>www.luithlen-stackelberg.de</w:t>
                      </w:r>
                    </w:p>
                  </w:txbxContent>
                </v:textbox>
              </v:shape>
            </w:pict>
          </mc:Fallback>
        </mc:AlternateContent>
      </w:r>
    </w:p>
    <w:p w:rsidR="00107AE4" w:rsidRDefault="00107AE4" w:rsidP="009A5D8D">
      <w:pPr>
        <w:pStyle w:val="KeinLeerraum"/>
        <w:rPr>
          <w:rFonts w:cs="Times New Roman"/>
        </w:rPr>
      </w:pPr>
    </w:p>
    <w:p w:rsidR="00107AE4" w:rsidRDefault="00107AE4" w:rsidP="009A5D8D">
      <w:pPr>
        <w:pStyle w:val="KeinLeerraum"/>
        <w:rPr>
          <w:rFonts w:cs="Times New Roman"/>
        </w:rPr>
      </w:pPr>
    </w:p>
    <w:p w:rsidR="00107AE4" w:rsidRDefault="00107AE4" w:rsidP="009A5D8D">
      <w:pPr>
        <w:pStyle w:val="KeinLeerraum"/>
        <w:rPr>
          <w:rFonts w:cs="Times New Roman"/>
        </w:rPr>
      </w:pPr>
    </w:p>
    <w:p w:rsidR="00107AE4" w:rsidRDefault="00107AE4" w:rsidP="009A5D8D">
      <w:pPr>
        <w:pStyle w:val="KeinLeerraum"/>
        <w:rPr>
          <w:rFonts w:cs="Times New Roman"/>
        </w:rPr>
      </w:pPr>
    </w:p>
    <w:sectPr w:rsidR="00107AE4" w:rsidSect="00107AE4">
      <w:pgSz w:w="11906" w:h="16838"/>
      <w:pgMar w:top="1417" w:right="1417" w:bottom="1134" w:left="1417"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pperplate33BC">
    <w:panose1 w:val="00000500000000000000"/>
    <w:charset w:val="00"/>
    <w:family w:val="roman"/>
    <w:notTrueType/>
    <w:pitch w:val="variable"/>
    <w:sig w:usb0="00000003" w:usb1="00000000" w:usb2="00000000" w:usb3="00000000" w:csb0="00000001" w:csb1="00000000"/>
  </w:font>
  <w:font w:name="Copperplate32BC">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800BF"/>
    <w:multiLevelType w:val="multilevel"/>
    <w:tmpl w:val="A666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1E7C51"/>
    <w:multiLevelType w:val="hybridMultilevel"/>
    <w:tmpl w:val="838891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1E"/>
    <w:rsid w:val="0000539D"/>
    <w:rsid w:val="00023589"/>
    <w:rsid w:val="00030C57"/>
    <w:rsid w:val="00037A29"/>
    <w:rsid w:val="0005639D"/>
    <w:rsid w:val="0005726D"/>
    <w:rsid w:val="0006423F"/>
    <w:rsid w:val="000669C3"/>
    <w:rsid w:val="000874D5"/>
    <w:rsid w:val="00093902"/>
    <w:rsid w:val="000A7DE0"/>
    <w:rsid w:val="000B22A0"/>
    <w:rsid w:val="000B50DC"/>
    <w:rsid w:val="000C477F"/>
    <w:rsid w:val="000C6C0A"/>
    <w:rsid w:val="000E41B8"/>
    <w:rsid w:val="000E5115"/>
    <w:rsid w:val="000F1727"/>
    <w:rsid w:val="00101E98"/>
    <w:rsid w:val="00107AE4"/>
    <w:rsid w:val="00111066"/>
    <w:rsid w:val="0011246D"/>
    <w:rsid w:val="00124835"/>
    <w:rsid w:val="00134C7F"/>
    <w:rsid w:val="001375AE"/>
    <w:rsid w:val="001745A0"/>
    <w:rsid w:val="00175CBB"/>
    <w:rsid w:val="001815DE"/>
    <w:rsid w:val="001A57EF"/>
    <w:rsid w:val="001A7722"/>
    <w:rsid w:val="001B2F23"/>
    <w:rsid w:val="001B6576"/>
    <w:rsid w:val="001C1780"/>
    <w:rsid w:val="001E1622"/>
    <w:rsid w:val="001E5925"/>
    <w:rsid w:val="002004DE"/>
    <w:rsid w:val="00201A3E"/>
    <w:rsid w:val="002134DA"/>
    <w:rsid w:val="0022361D"/>
    <w:rsid w:val="00230551"/>
    <w:rsid w:val="00232F4F"/>
    <w:rsid w:val="002370DE"/>
    <w:rsid w:val="00256516"/>
    <w:rsid w:val="00264863"/>
    <w:rsid w:val="00265A05"/>
    <w:rsid w:val="00271141"/>
    <w:rsid w:val="00294681"/>
    <w:rsid w:val="002A7469"/>
    <w:rsid w:val="002A7A9D"/>
    <w:rsid w:val="002B4C94"/>
    <w:rsid w:val="002E0B91"/>
    <w:rsid w:val="003001E5"/>
    <w:rsid w:val="00301F0E"/>
    <w:rsid w:val="0030310E"/>
    <w:rsid w:val="00310591"/>
    <w:rsid w:val="00311678"/>
    <w:rsid w:val="003137BB"/>
    <w:rsid w:val="00314880"/>
    <w:rsid w:val="0032057B"/>
    <w:rsid w:val="0032308D"/>
    <w:rsid w:val="003278EC"/>
    <w:rsid w:val="00327D32"/>
    <w:rsid w:val="00336775"/>
    <w:rsid w:val="0034564B"/>
    <w:rsid w:val="003522CD"/>
    <w:rsid w:val="0035647B"/>
    <w:rsid w:val="00360D25"/>
    <w:rsid w:val="00376F02"/>
    <w:rsid w:val="003805D4"/>
    <w:rsid w:val="00385F93"/>
    <w:rsid w:val="00386426"/>
    <w:rsid w:val="00391243"/>
    <w:rsid w:val="003A3D51"/>
    <w:rsid w:val="003A4136"/>
    <w:rsid w:val="003B252E"/>
    <w:rsid w:val="003B2E5F"/>
    <w:rsid w:val="003B5986"/>
    <w:rsid w:val="003D006E"/>
    <w:rsid w:val="003D22CC"/>
    <w:rsid w:val="003D7858"/>
    <w:rsid w:val="003E1559"/>
    <w:rsid w:val="003E59C5"/>
    <w:rsid w:val="003F171B"/>
    <w:rsid w:val="003F79AF"/>
    <w:rsid w:val="004048FD"/>
    <w:rsid w:val="00421B19"/>
    <w:rsid w:val="00452DD5"/>
    <w:rsid w:val="00456F6B"/>
    <w:rsid w:val="00463FF8"/>
    <w:rsid w:val="004643D5"/>
    <w:rsid w:val="00466682"/>
    <w:rsid w:val="00475064"/>
    <w:rsid w:val="004853B0"/>
    <w:rsid w:val="00493550"/>
    <w:rsid w:val="004B2D14"/>
    <w:rsid w:val="004C6668"/>
    <w:rsid w:val="004E212C"/>
    <w:rsid w:val="004E2E95"/>
    <w:rsid w:val="004E5B6E"/>
    <w:rsid w:val="004F041F"/>
    <w:rsid w:val="004F0F1C"/>
    <w:rsid w:val="004F4D47"/>
    <w:rsid w:val="005027C3"/>
    <w:rsid w:val="00504CA6"/>
    <w:rsid w:val="005226BB"/>
    <w:rsid w:val="00523B4D"/>
    <w:rsid w:val="00545294"/>
    <w:rsid w:val="00551ADB"/>
    <w:rsid w:val="00552B5C"/>
    <w:rsid w:val="00566C7E"/>
    <w:rsid w:val="005671A6"/>
    <w:rsid w:val="005779EB"/>
    <w:rsid w:val="00577F14"/>
    <w:rsid w:val="0058003F"/>
    <w:rsid w:val="0058014E"/>
    <w:rsid w:val="00582153"/>
    <w:rsid w:val="005927E9"/>
    <w:rsid w:val="0059626E"/>
    <w:rsid w:val="005B71F4"/>
    <w:rsid w:val="005C553D"/>
    <w:rsid w:val="005D13B1"/>
    <w:rsid w:val="00605856"/>
    <w:rsid w:val="006209B9"/>
    <w:rsid w:val="006361D2"/>
    <w:rsid w:val="00680628"/>
    <w:rsid w:val="0069034D"/>
    <w:rsid w:val="006925CB"/>
    <w:rsid w:val="006C63AC"/>
    <w:rsid w:val="006C7730"/>
    <w:rsid w:val="006D5A1E"/>
    <w:rsid w:val="0075664B"/>
    <w:rsid w:val="00761A87"/>
    <w:rsid w:val="00763C22"/>
    <w:rsid w:val="0076545E"/>
    <w:rsid w:val="00770CD4"/>
    <w:rsid w:val="00776757"/>
    <w:rsid w:val="00776EB2"/>
    <w:rsid w:val="00777989"/>
    <w:rsid w:val="0078104E"/>
    <w:rsid w:val="007858A6"/>
    <w:rsid w:val="007961AB"/>
    <w:rsid w:val="007A21D0"/>
    <w:rsid w:val="007B1699"/>
    <w:rsid w:val="007B4EB6"/>
    <w:rsid w:val="007D3142"/>
    <w:rsid w:val="007D431F"/>
    <w:rsid w:val="007E1245"/>
    <w:rsid w:val="007E2B24"/>
    <w:rsid w:val="007E4EC5"/>
    <w:rsid w:val="007E7331"/>
    <w:rsid w:val="007F1514"/>
    <w:rsid w:val="007F1946"/>
    <w:rsid w:val="007F20B5"/>
    <w:rsid w:val="007F27F9"/>
    <w:rsid w:val="00806753"/>
    <w:rsid w:val="00807875"/>
    <w:rsid w:val="00816624"/>
    <w:rsid w:val="008263CC"/>
    <w:rsid w:val="0082772A"/>
    <w:rsid w:val="008420B0"/>
    <w:rsid w:val="008464B3"/>
    <w:rsid w:val="008648B0"/>
    <w:rsid w:val="008802A9"/>
    <w:rsid w:val="00881F6B"/>
    <w:rsid w:val="00885A97"/>
    <w:rsid w:val="00890A5D"/>
    <w:rsid w:val="0089266F"/>
    <w:rsid w:val="008A1505"/>
    <w:rsid w:val="008A25EE"/>
    <w:rsid w:val="008D3683"/>
    <w:rsid w:val="008E1688"/>
    <w:rsid w:val="008F6FB7"/>
    <w:rsid w:val="00907E5D"/>
    <w:rsid w:val="009360D0"/>
    <w:rsid w:val="00941952"/>
    <w:rsid w:val="00942C61"/>
    <w:rsid w:val="00946D50"/>
    <w:rsid w:val="009578BB"/>
    <w:rsid w:val="00970543"/>
    <w:rsid w:val="00982D96"/>
    <w:rsid w:val="00983E19"/>
    <w:rsid w:val="009925EF"/>
    <w:rsid w:val="00994BA8"/>
    <w:rsid w:val="00995261"/>
    <w:rsid w:val="00996E43"/>
    <w:rsid w:val="009A334A"/>
    <w:rsid w:val="009A5D8D"/>
    <w:rsid w:val="009B62EF"/>
    <w:rsid w:val="009C1151"/>
    <w:rsid w:val="009C21B2"/>
    <w:rsid w:val="009C59AB"/>
    <w:rsid w:val="009D717F"/>
    <w:rsid w:val="009E3F68"/>
    <w:rsid w:val="00A01125"/>
    <w:rsid w:val="00A233C0"/>
    <w:rsid w:val="00A266BF"/>
    <w:rsid w:val="00A4659F"/>
    <w:rsid w:val="00A563F1"/>
    <w:rsid w:val="00A66F4F"/>
    <w:rsid w:val="00A70069"/>
    <w:rsid w:val="00A81434"/>
    <w:rsid w:val="00AA3329"/>
    <w:rsid w:val="00AB23E5"/>
    <w:rsid w:val="00AD00D9"/>
    <w:rsid w:val="00AF57D7"/>
    <w:rsid w:val="00AF6168"/>
    <w:rsid w:val="00AF6CAB"/>
    <w:rsid w:val="00B023C7"/>
    <w:rsid w:val="00B0503C"/>
    <w:rsid w:val="00B053D4"/>
    <w:rsid w:val="00B13894"/>
    <w:rsid w:val="00B203F4"/>
    <w:rsid w:val="00B30D91"/>
    <w:rsid w:val="00B3690C"/>
    <w:rsid w:val="00B36A2F"/>
    <w:rsid w:val="00B40FB0"/>
    <w:rsid w:val="00B41385"/>
    <w:rsid w:val="00B42ABB"/>
    <w:rsid w:val="00B43FC1"/>
    <w:rsid w:val="00B451E9"/>
    <w:rsid w:val="00B500FC"/>
    <w:rsid w:val="00B673DC"/>
    <w:rsid w:val="00B80D2C"/>
    <w:rsid w:val="00B91F93"/>
    <w:rsid w:val="00B94803"/>
    <w:rsid w:val="00B97642"/>
    <w:rsid w:val="00BE7524"/>
    <w:rsid w:val="00C00761"/>
    <w:rsid w:val="00C162CD"/>
    <w:rsid w:val="00C25EE4"/>
    <w:rsid w:val="00C27C6E"/>
    <w:rsid w:val="00C41029"/>
    <w:rsid w:val="00C446AF"/>
    <w:rsid w:val="00C548FB"/>
    <w:rsid w:val="00C63C81"/>
    <w:rsid w:val="00C66441"/>
    <w:rsid w:val="00C6761E"/>
    <w:rsid w:val="00C7662F"/>
    <w:rsid w:val="00C76FBB"/>
    <w:rsid w:val="00C800F2"/>
    <w:rsid w:val="00C80531"/>
    <w:rsid w:val="00C817AB"/>
    <w:rsid w:val="00C81F09"/>
    <w:rsid w:val="00C97136"/>
    <w:rsid w:val="00CC3018"/>
    <w:rsid w:val="00CD0574"/>
    <w:rsid w:val="00CD42C9"/>
    <w:rsid w:val="00CD782B"/>
    <w:rsid w:val="00CE262C"/>
    <w:rsid w:val="00D30BBD"/>
    <w:rsid w:val="00D30D81"/>
    <w:rsid w:val="00D3799D"/>
    <w:rsid w:val="00D40A7E"/>
    <w:rsid w:val="00D40B3C"/>
    <w:rsid w:val="00D60B51"/>
    <w:rsid w:val="00D7215A"/>
    <w:rsid w:val="00D7229F"/>
    <w:rsid w:val="00D735C6"/>
    <w:rsid w:val="00D85E19"/>
    <w:rsid w:val="00D92A77"/>
    <w:rsid w:val="00DC281D"/>
    <w:rsid w:val="00DD28CA"/>
    <w:rsid w:val="00DD404C"/>
    <w:rsid w:val="00DE0FD1"/>
    <w:rsid w:val="00DE4F90"/>
    <w:rsid w:val="00DF083C"/>
    <w:rsid w:val="00E02823"/>
    <w:rsid w:val="00E13739"/>
    <w:rsid w:val="00E147D7"/>
    <w:rsid w:val="00E1738B"/>
    <w:rsid w:val="00E60FAD"/>
    <w:rsid w:val="00E71BCE"/>
    <w:rsid w:val="00E76E26"/>
    <w:rsid w:val="00E77BB9"/>
    <w:rsid w:val="00E80B6B"/>
    <w:rsid w:val="00E9186B"/>
    <w:rsid w:val="00EB704E"/>
    <w:rsid w:val="00EC07D9"/>
    <w:rsid w:val="00EC6CAD"/>
    <w:rsid w:val="00ED0750"/>
    <w:rsid w:val="00ED1241"/>
    <w:rsid w:val="00EE3699"/>
    <w:rsid w:val="00EF65E1"/>
    <w:rsid w:val="00F03078"/>
    <w:rsid w:val="00F04D44"/>
    <w:rsid w:val="00F123E9"/>
    <w:rsid w:val="00F2170D"/>
    <w:rsid w:val="00F31344"/>
    <w:rsid w:val="00F55819"/>
    <w:rsid w:val="00F61F47"/>
    <w:rsid w:val="00F83B09"/>
    <w:rsid w:val="00F85A4C"/>
    <w:rsid w:val="00F95FDC"/>
    <w:rsid w:val="00FB5FDB"/>
    <w:rsid w:val="00FB7E93"/>
    <w:rsid w:val="00FD5133"/>
    <w:rsid w:val="00FD6989"/>
    <w:rsid w:val="00FE0107"/>
    <w:rsid w:val="00FE23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5A1E"/>
    <w:rPr>
      <w:rFonts w:ascii="Times New Roman" w:hAnsi="Times New Roman"/>
    </w:rPr>
  </w:style>
  <w:style w:type="paragraph" w:styleId="berschrift1">
    <w:name w:val="heading 1"/>
    <w:basedOn w:val="Standard"/>
    <w:link w:val="berschrift1Zchn"/>
    <w:uiPriority w:val="9"/>
    <w:qFormat/>
    <w:rsid w:val="00523B4D"/>
    <w:pPr>
      <w:spacing w:before="100" w:beforeAutospacing="1" w:after="100" w:afterAutospacing="1" w:line="240" w:lineRule="auto"/>
      <w:outlineLvl w:val="0"/>
    </w:pPr>
    <w:rPr>
      <w:rFonts w:eastAsia="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F313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5A1E"/>
    <w:pPr>
      <w:spacing w:after="0" w:line="240" w:lineRule="auto"/>
    </w:pPr>
    <w:rPr>
      <w:rFonts w:ascii="Times New Roman" w:hAnsi="Times New Roman"/>
    </w:rPr>
  </w:style>
  <w:style w:type="paragraph" w:customStyle="1" w:styleId="Normaltext">
    <w:name w:val="Normaltext"/>
    <w:basedOn w:val="Standard"/>
    <w:rsid w:val="00421B19"/>
    <w:pPr>
      <w:spacing w:after="0" w:line="360" w:lineRule="exact"/>
    </w:pPr>
    <w:rPr>
      <w:rFonts w:eastAsia="Times New Roman" w:cs="Times New Roman"/>
      <w:sz w:val="24"/>
      <w:szCs w:val="20"/>
      <w:lang w:eastAsia="de-DE"/>
    </w:rPr>
  </w:style>
  <w:style w:type="character" w:customStyle="1" w:styleId="berschrift1Zchn">
    <w:name w:val="Überschrift 1 Zchn"/>
    <w:basedOn w:val="Absatz-Standardschriftart"/>
    <w:link w:val="berschrift1"/>
    <w:uiPriority w:val="9"/>
    <w:rsid w:val="00523B4D"/>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523B4D"/>
    <w:pPr>
      <w:spacing w:before="100" w:beforeAutospacing="1" w:after="100" w:afterAutospacing="1" w:line="240" w:lineRule="auto"/>
    </w:pPr>
    <w:rPr>
      <w:rFonts w:eastAsia="Times New Roman" w:cs="Times New Roman"/>
      <w:sz w:val="24"/>
      <w:szCs w:val="24"/>
      <w:lang w:eastAsia="de-DE"/>
    </w:rPr>
  </w:style>
  <w:style w:type="character" w:styleId="Hyperlink">
    <w:name w:val="Hyperlink"/>
    <w:basedOn w:val="Absatz-Standardschriftart"/>
    <w:uiPriority w:val="99"/>
    <w:semiHidden/>
    <w:unhideWhenUsed/>
    <w:rsid w:val="00523B4D"/>
    <w:rPr>
      <w:color w:val="0000FF"/>
      <w:u w:val="single"/>
    </w:rPr>
  </w:style>
  <w:style w:type="character" w:customStyle="1" w:styleId="berschrift2Zchn">
    <w:name w:val="Überschrift 2 Zchn"/>
    <w:basedOn w:val="Absatz-Standardschriftart"/>
    <w:link w:val="berschrift2"/>
    <w:uiPriority w:val="9"/>
    <w:semiHidden/>
    <w:rsid w:val="00F31344"/>
    <w:rPr>
      <w:rFonts w:asciiTheme="majorHAnsi" w:eastAsiaTheme="majorEastAsia" w:hAnsiTheme="majorHAnsi" w:cstheme="majorBidi"/>
      <w:b/>
      <w:bCs/>
      <w:color w:val="4F81BD" w:themeColor="accent1"/>
      <w:sz w:val="26"/>
      <w:szCs w:val="26"/>
    </w:rPr>
  </w:style>
  <w:style w:type="character" w:customStyle="1" w:styleId="zit">
    <w:name w:val="zit"/>
    <w:basedOn w:val="Absatz-Standardschriftart"/>
    <w:rsid w:val="00F313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5A1E"/>
    <w:rPr>
      <w:rFonts w:ascii="Times New Roman" w:hAnsi="Times New Roman"/>
    </w:rPr>
  </w:style>
  <w:style w:type="paragraph" w:styleId="berschrift1">
    <w:name w:val="heading 1"/>
    <w:basedOn w:val="Standard"/>
    <w:link w:val="berschrift1Zchn"/>
    <w:uiPriority w:val="9"/>
    <w:qFormat/>
    <w:rsid w:val="00523B4D"/>
    <w:pPr>
      <w:spacing w:before="100" w:beforeAutospacing="1" w:after="100" w:afterAutospacing="1" w:line="240" w:lineRule="auto"/>
      <w:outlineLvl w:val="0"/>
    </w:pPr>
    <w:rPr>
      <w:rFonts w:eastAsia="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F313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5A1E"/>
    <w:pPr>
      <w:spacing w:after="0" w:line="240" w:lineRule="auto"/>
    </w:pPr>
    <w:rPr>
      <w:rFonts w:ascii="Times New Roman" w:hAnsi="Times New Roman"/>
    </w:rPr>
  </w:style>
  <w:style w:type="paragraph" w:customStyle="1" w:styleId="Normaltext">
    <w:name w:val="Normaltext"/>
    <w:basedOn w:val="Standard"/>
    <w:rsid w:val="00421B19"/>
    <w:pPr>
      <w:spacing w:after="0" w:line="360" w:lineRule="exact"/>
    </w:pPr>
    <w:rPr>
      <w:rFonts w:eastAsia="Times New Roman" w:cs="Times New Roman"/>
      <w:sz w:val="24"/>
      <w:szCs w:val="20"/>
      <w:lang w:eastAsia="de-DE"/>
    </w:rPr>
  </w:style>
  <w:style w:type="character" w:customStyle="1" w:styleId="berschrift1Zchn">
    <w:name w:val="Überschrift 1 Zchn"/>
    <w:basedOn w:val="Absatz-Standardschriftart"/>
    <w:link w:val="berschrift1"/>
    <w:uiPriority w:val="9"/>
    <w:rsid w:val="00523B4D"/>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523B4D"/>
    <w:pPr>
      <w:spacing w:before="100" w:beforeAutospacing="1" w:after="100" w:afterAutospacing="1" w:line="240" w:lineRule="auto"/>
    </w:pPr>
    <w:rPr>
      <w:rFonts w:eastAsia="Times New Roman" w:cs="Times New Roman"/>
      <w:sz w:val="24"/>
      <w:szCs w:val="24"/>
      <w:lang w:eastAsia="de-DE"/>
    </w:rPr>
  </w:style>
  <w:style w:type="character" w:styleId="Hyperlink">
    <w:name w:val="Hyperlink"/>
    <w:basedOn w:val="Absatz-Standardschriftart"/>
    <w:uiPriority w:val="99"/>
    <w:semiHidden/>
    <w:unhideWhenUsed/>
    <w:rsid w:val="00523B4D"/>
    <w:rPr>
      <w:color w:val="0000FF"/>
      <w:u w:val="single"/>
    </w:rPr>
  </w:style>
  <w:style w:type="character" w:customStyle="1" w:styleId="berschrift2Zchn">
    <w:name w:val="Überschrift 2 Zchn"/>
    <w:basedOn w:val="Absatz-Standardschriftart"/>
    <w:link w:val="berschrift2"/>
    <w:uiPriority w:val="9"/>
    <w:semiHidden/>
    <w:rsid w:val="00F31344"/>
    <w:rPr>
      <w:rFonts w:asciiTheme="majorHAnsi" w:eastAsiaTheme="majorEastAsia" w:hAnsiTheme="majorHAnsi" w:cstheme="majorBidi"/>
      <w:b/>
      <w:bCs/>
      <w:color w:val="4F81BD" w:themeColor="accent1"/>
      <w:sz w:val="26"/>
      <w:szCs w:val="26"/>
    </w:rPr>
  </w:style>
  <w:style w:type="character" w:customStyle="1" w:styleId="zit">
    <w:name w:val="zit"/>
    <w:basedOn w:val="Absatz-Standardschriftart"/>
    <w:rsid w:val="00F31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523336">
      <w:bodyDiv w:val="1"/>
      <w:marLeft w:val="0"/>
      <w:marRight w:val="0"/>
      <w:marTop w:val="0"/>
      <w:marBottom w:val="0"/>
      <w:divBdr>
        <w:top w:val="none" w:sz="0" w:space="0" w:color="auto"/>
        <w:left w:val="none" w:sz="0" w:space="0" w:color="auto"/>
        <w:bottom w:val="none" w:sz="0" w:space="0" w:color="auto"/>
        <w:right w:val="none" w:sz="0" w:space="0" w:color="auto"/>
      </w:divBdr>
      <w:divsChild>
        <w:div w:id="1025325331">
          <w:marLeft w:val="0"/>
          <w:marRight w:val="0"/>
          <w:marTop w:val="0"/>
          <w:marBottom w:val="0"/>
          <w:divBdr>
            <w:top w:val="none" w:sz="0" w:space="0" w:color="auto"/>
            <w:left w:val="none" w:sz="0" w:space="0" w:color="auto"/>
            <w:bottom w:val="none" w:sz="0" w:space="0" w:color="auto"/>
            <w:right w:val="none" w:sz="0" w:space="0" w:color="auto"/>
          </w:divBdr>
          <w:divsChild>
            <w:div w:id="571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5429">
      <w:bodyDiv w:val="1"/>
      <w:marLeft w:val="0"/>
      <w:marRight w:val="0"/>
      <w:marTop w:val="0"/>
      <w:marBottom w:val="0"/>
      <w:divBdr>
        <w:top w:val="none" w:sz="0" w:space="0" w:color="auto"/>
        <w:left w:val="none" w:sz="0" w:space="0" w:color="auto"/>
        <w:bottom w:val="none" w:sz="0" w:space="0" w:color="auto"/>
        <w:right w:val="none" w:sz="0" w:space="0" w:color="auto"/>
      </w:divBdr>
      <w:divsChild>
        <w:div w:id="1864515082">
          <w:marLeft w:val="0"/>
          <w:marRight w:val="0"/>
          <w:marTop w:val="0"/>
          <w:marBottom w:val="0"/>
          <w:divBdr>
            <w:top w:val="none" w:sz="0" w:space="0" w:color="auto"/>
            <w:left w:val="none" w:sz="0" w:space="0" w:color="auto"/>
            <w:bottom w:val="none" w:sz="0" w:space="0" w:color="auto"/>
            <w:right w:val="none" w:sz="0" w:space="0" w:color="auto"/>
          </w:divBdr>
          <w:divsChild>
            <w:div w:id="968128739">
              <w:marLeft w:val="0"/>
              <w:marRight w:val="0"/>
              <w:marTop w:val="0"/>
              <w:marBottom w:val="0"/>
              <w:divBdr>
                <w:top w:val="none" w:sz="0" w:space="0" w:color="auto"/>
                <w:left w:val="none" w:sz="0" w:space="0" w:color="auto"/>
                <w:bottom w:val="none" w:sz="0" w:space="0" w:color="auto"/>
                <w:right w:val="none" w:sz="0" w:space="0" w:color="auto"/>
              </w:divBdr>
              <w:divsChild>
                <w:div w:id="841621878">
                  <w:marLeft w:val="0"/>
                  <w:marRight w:val="0"/>
                  <w:marTop w:val="0"/>
                  <w:marBottom w:val="0"/>
                  <w:divBdr>
                    <w:top w:val="none" w:sz="0" w:space="0" w:color="auto"/>
                    <w:left w:val="none" w:sz="0" w:space="0" w:color="auto"/>
                    <w:bottom w:val="none" w:sz="0" w:space="0" w:color="auto"/>
                    <w:right w:val="none" w:sz="0" w:space="0" w:color="auto"/>
                  </w:divBdr>
                </w:div>
              </w:divsChild>
            </w:div>
            <w:div w:id="1266233790">
              <w:marLeft w:val="0"/>
              <w:marRight w:val="0"/>
              <w:marTop w:val="0"/>
              <w:marBottom w:val="0"/>
              <w:divBdr>
                <w:top w:val="none" w:sz="0" w:space="0" w:color="auto"/>
                <w:left w:val="none" w:sz="0" w:space="0" w:color="auto"/>
                <w:bottom w:val="none" w:sz="0" w:space="0" w:color="auto"/>
                <w:right w:val="none" w:sz="0" w:space="0" w:color="auto"/>
              </w:divBdr>
            </w:div>
            <w:div w:id="15227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2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ck-online.beck.de/Default.aspx?typ=reference&amp;y=100&amp;G=BGB&amp;P=564" TargetMode="External"/><Relationship Id="rId13" Type="http://schemas.openxmlformats.org/officeDocument/2006/relationships/hyperlink" Target="http://beck-online.beck.de/Default.aspx?typ=reference&amp;y=100&amp;G=BGB&amp;P=580" TargetMode="External"/><Relationship Id="rId18" Type="http://schemas.openxmlformats.org/officeDocument/2006/relationships/hyperlink" Target="http://beck-online.beck.de/Default.aspx?typ=reference&amp;y=100&amp;G=WEG&amp;P=21&amp;X=8"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beck-online.beck.de/Default.aspx?typ=reference&amp;y=100&amp;G=BGB&amp;P=564" TargetMode="External"/><Relationship Id="rId17" Type="http://schemas.openxmlformats.org/officeDocument/2006/relationships/hyperlink" Target="http://beck-online.beck.de/Default.aspx?typ=reference&amp;y=100&amp;G=WEG&amp;P=21" TargetMode="External"/><Relationship Id="rId2" Type="http://schemas.openxmlformats.org/officeDocument/2006/relationships/customXml" Target="../customXml/item2.xml"/><Relationship Id="rId16" Type="http://schemas.openxmlformats.org/officeDocument/2006/relationships/hyperlink" Target="http://beck-online.beck.de/Default.aspx?typ=reference&amp;y=100&amp;G=BGB&amp;P=56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eck-online.beck.de/Default.aspx?typ=reference&amp;y=100&amp;G=BGB&amp;P=564" TargetMode="External"/><Relationship Id="rId5" Type="http://schemas.microsoft.com/office/2007/relationships/stylesWithEffects" Target="stylesWithEffects.xml"/><Relationship Id="rId15" Type="http://schemas.openxmlformats.org/officeDocument/2006/relationships/hyperlink" Target="http://beck-online.beck.de/Default.aspx?typ=reference&amp;y=100&amp;G=BGB&amp;P=580" TargetMode="External"/><Relationship Id="rId10" Type="http://schemas.openxmlformats.org/officeDocument/2006/relationships/hyperlink" Target="http://beck-online.beck.de/Default.aspx?typ=reference&amp;y=100&amp;G=BGB&amp;P=580"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beck-online.beck.de/Default.aspx?typ=reference&amp;y=100&amp;G=BGB&amp;P=580" TargetMode="External"/><Relationship Id="rId14" Type="http://schemas.openxmlformats.org/officeDocument/2006/relationships/hyperlink" Target="http://beck-online.beck.de/Default.aspx?typ=reference&amp;y=100&amp;G=BGB&amp;P=58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7323520c-34f5-4ebb-9a77-21c3c2449997</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9D21F-FE26-4307-B38C-AA3AD3C9BEEE}">
  <ds:schemaRefs>
    <ds:schemaRef ds:uri="http://www.datev.de/BSOffice/999929"/>
  </ds:schemaRefs>
</ds:datastoreItem>
</file>

<file path=customXml/itemProps2.xml><?xml version="1.0" encoding="utf-8"?>
<ds:datastoreItem xmlns:ds="http://schemas.openxmlformats.org/officeDocument/2006/customXml" ds:itemID="{9B2B93B0-D7B4-43F4-AB88-408124AC7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1727</Words>
  <Characters>10883</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Kanzlei Luithlen</Company>
  <LinksUpToDate>false</LinksUpToDate>
  <CharactersWithSpaces>12585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Schmidt-Eberth</dc:creator>
  <cp:lastModifiedBy>Jens Becker-Platen</cp:lastModifiedBy>
  <cp:revision>7</cp:revision>
  <cp:lastPrinted>2013-12-05T15:57:00Z</cp:lastPrinted>
  <dcterms:created xsi:type="dcterms:W3CDTF">2018-08-27T06:29:00Z</dcterms:created>
  <dcterms:modified xsi:type="dcterms:W3CDTF">2018-09-20T14:42:00Z</dcterms:modified>
</cp:coreProperties>
</file>