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B45A21">
                              <w:rPr>
                                <w:b/>
                                <w:sz w:val="28"/>
                              </w:rPr>
                              <w:t>April</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373CB5" w:rsidRDefault="00BE7524" w:rsidP="006D5A1E">
                      <w:pPr>
                        <w:spacing w:after="0" w:line="240" w:lineRule="auto"/>
                        <w:jc w:val="center"/>
                        <w:rPr>
                          <w:b/>
                          <w:sz w:val="28"/>
                        </w:rPr>
                      </w:pPr>
                      <w:r>
                        <w:rPr>
                          <w:b/>
                          <w:sz w:val="28"/>
                        </w:rPr>
                        <w:t>Miet- u</w:t>
                      </w:r>
                      <w:r w:rsidR="00304699">
                        <w:rPr>
                          <w:b/>
                          <w:sz w:val="28"/>
                        </w:rPr>
                        <w:t xml:space="preserve">nd Wohnungseigen-tumsrecht </w:t>
                      </w:r>
                      <w:r w:rsidR="00B45A21">
                        <w:rPr>
                          <w:b/>
                          <w:sz w:val="28"/>
                        </w:rPr>
                        <w:t>April</w:t>
                      </w:r>
                      <w:r w:rsidR="00FC3C05">
                        <w:rPr>
                          <w:b/>
                          <w:sz w:val="28"/>
                        </w:rPr>
                        <w:t xml:space="preserve"> 2022</w:t>
                      </w:r>
                    </w:p>
                    <w:p w:rsidR="008F0E34" w:rsidRDefault="008F0E34" w:rsidP="006D5A1E">
                      <w:pPr>
                        <w:spacing w:after="0" w:line="240" w:lineRule="auto"/>
                        <w:jc w:val="center"/>
                        <w:rPr>
                          <w:b/>
                          <w:sz w:val="28"/>
                        </w:rPr>
                      </w:pPr>
                    </w:p>
                    <w:p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E60963" w:rsidRDefault="00AE690E" w:rsidP="00FC3C05">
      <w:pPr>
        <w:pStyle w:val="StandardWeb"/>
        <w:rPr>
          <w:b/>
        </w:rPr>
      </w:pPr>
      <w:r w:rsidRPr="00E60963">
        <w:t>﻿</w:t>
      </w:r>
      <w:r w:rsidR="00072642" w:rsidRPr="00072642">
        <w:rPr>
          <w:b/>
        </w:rPr>
        <w:t>Vermieter hat keine eigenen einklagbaren Ansprüche gegen das Jobcenter</w:t>
      </w:r>
    </w:p>
    <w:p w:rsidR="00072642" w:rsidRPr="002A41CE" w:rsidRDefault="00072642" w:rsidP="00FC3C05">
      <w:pPr>
        <w:pStyle w:val="StandardWeb"/>
      </w:pPr>
      <w:r w:rsidRPr="00072642">
        <w:t xml:space="preserve">Das </w:t>
      </w:r>
      <w:r w:rsidRPr="00072642">
        <w:rPr>
          <w:b/>
        </w:rPr>
        <w:t>Landessozialgericht Niedersachsen-Bremen</w:t>
      </w:r>
      <w:r w:rsidRPr="00072642">
        <w:t xml:space="preserve"> hat mit Urteil vom 07.02.2022 entschieden, dass der Vermi</w:t>
      </w:r>
      <w:r>
        <w:t>eter trotz der Möglichkeit der Direktz</w:t>
      </w:r>
      <w:r w:rsidRPr="00072642">
        <w:t xml:space="preserve">ahlung der Miete vom Jobcenter an den Vermieter keine eigenen </w:t>
      </w:r>
      <w:r w:rsidRPr="002A41CE">
        <w:t>einklagbaren Ansprüche gegen das Jobcenter hat. Die Direktzahlung soll allein die zweckentsprechende Verwendung der Unterkunftsleistungen gewährleisten, bezwecke aber keine vereinfachte Durchsetzung von Mietforderungen. Der Vermieter hat keine eigenen Ansprüche aus dem SGB II. Trotz der im SGB II vorgesehenen Möglichkeit der Direktzahlung von Miete an den Vermieter entsteht keine Rechtsbeziehung zwischen Vermieter und dem Jobcenter.</w:t>
      </w:r>
    </w:p>
    <w:p w:rsidR="002A41CE" w:rsidRPr="002A41CE" w:rsidRDefault="002A41CE" w:rsidP="002A41CE">
      <w:pPr>
        <w:pStyle w:val="NurText"/>
        <w:rPr>
          <w:rFonts w:ascii="Times New Roman" w:hAnsi="Times New Roman" w:cs="Times New Roman"/>
          <w:b/>
          <w:sz w:val="24"/>
          <w:szCs w:val="24"/>
        </w:rPr>
      </w:pPr>
      <w:r w:rsidRPr="002A41CE">
        <w:rPr>
          <w:rFonts w:ascii="Times New Roman" w:hAnsi="Times New Roman" w:cs="Times New Roman"/>
          <w:b/>
          <w:sz w:val="24"/>
          <w:szCs w:val="24"/>
        </w:rPr>
        <w:t>Belegeinsicht Nebenkostenabrechnung nur digitale Dokumente?</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sz w:val="24"/>
          <w:szCs w:val="24"/>
        </w:rPr>
      </w:pPr>
      <w:r w:rsidRPr="002A41CE">
        <w:rPr>
          <w:rFonts w:ascii="Times New Roman" w:hAnsi="Times New Roman" w:cs="Times New Roman"/>
          <w:sz w:val="24"/>
          <w:szCs w:val="24"/>
        </w:rPr>
        <w:t xml:space="preserve">Mit Urteil vom 15.12.2021 hat der </w:t>
      </w:r>
      <w:r w:rsidRPr="002A41CE">
        <w:rPr>
          <w:rFonts w:ascii="Times New Roman" w:hAnsi="Times New Roman" w:cs="Times New Roman"/>
          <w:b/>
          <w:sz w:val="24"/>
          <w:szCs w:val="24"/>
        </w:rPr>
        <w:t>BGH</w:t>
      </w:r>
      <w:r w:rsidRPr="002A41CE">
        <w:rPr>
          <w:rFonts w:ascii="Times New Roman" w:hAnsi="Times New Roman" w:cs="Times New Roman"/>
          <w:sz w:val="24"/>
          <w:szCs w:val="24"/>
        </w:rPr>
        <w:t xml:space="preserve"> erneut geurteilt, dass ein Mieter hinsichtlic</w:t>
      </w:r>
      <w:r>
        <w:rPr>
          <w:rFonts w:ascii="Times New Roman" w:hAnsi="Times New Roman" w:cs="Times New Roman"/>
          <w:sz w:val="24"/>
          <w:szCs w:val="24"/>
        </w:rPr>
        <w:t>h der bei einer Betriebskostena</w:t>
      </w:r>
      <w:r w:rsidRPr="002A41CE">
        <w:rPr>
          <w:rFonts w:ascii="Times New Roman" w:hAnsi="Times New Roman" w:cs="Times New Roman"/>
          <w:sz w:val="24"/>
          <w:szCs w:val="24"/>
        </w:rPr>
        <w:t xml:space="preserve">brechnung vom Vermieter geschuldeten Belegvorlage grundsätzlich den Anspruch auf Einsicht in die Originale verlangen kann, ohne insoweit ein besonderes Interesse darlegen zu müssen. Dies gilt typischerweise auch in Ansehung des im Ansatzpunkt nachvollziehbaren Interesses des Vermieters, die Organisation einer Einsichtnahme in seinen Räumen zu vermeiden und selbst wenn unterstellt wird, dass das Übersenden von Kopien auch für den Mieter mit Vorteilen verbunden sein kann, jedenfalls solange der Mieter dem Vermieter nicht sein Einverständnis mit dem Erhalt allein von Belegkopien kundgetan hat. Denn bei einer Einsicht in die Originalbelege beim Vermieter können Fehlverständnisse des Mieters die Abrechnung betreffend – durch Erläuterung seitens des Vermieters – sowie zeitliche Verzögerungen – </w:t>
      </w:r>
      <w:r w:rsidRPr="002A41CE">
        <w:rPr>
          <w:rFonts w:ascii="Times New Roman" w:hAnsi="Times New Roman" w:cs="Times New Roman"/>
          <w:sz w:val="24"/>
          <w:szCs w:val="24"/>
        </w:rPr>
        <w:t xml:space="preserve">etwa infolge eines Mieterverlangen nach weiteren Erläuterungen und Unterlagen die der Vermieter vor Ort zugleich geben beziehungsweise herbeischaffen kann – vermieden werden. In Ausnahmefällen kann es nach den Grundsätzen von Treu und Glauben allerdings in Betracht kommen, dass der Vermieter lediglich die Vorlage von Kopien oder Scanprodukten schuldet. Die Frage, ob ein solcher Ausnahmefall gegeben ist, entzieht sich allgemeiner Betrachtung und ist vom Tatrichter unter Würdigung aller Umstände des Einzelfalls zu entscheiden. Ein Ausnahmefall kann etwa dann vorliegen, wenn der Vermieter seinerseits von seinem Dienstleister entsprechende Belege nur in digitaler Form erhalten hat oder wenn der Vermieter infolge Vernichtung der Originale – wofür er darlegungs– und beweisbelastet ist – zu deren Vorlage außer Stande ist. </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b/>
          <w:sz w:val="24"/>
          <w:szCs w:val="24"/>
        </w:rPr>
      </w:pPr>
      <w:r w:rsidRPr="002A41CE">
        <w:rPr>
          <w:rFonts w:ascii="Times New Roman" w:hAnsi="Times New Roman" w:cs="Times New Roman"/>
          <w:b/>
          <w:sz w:val="24"/>
          <w:szCs w:val="24"/>
        </w:rPr>
        <w:t>Baumfällkosten sind umlagefähige Betriebskosten</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sz w:val="24"/>
          <w:szCs w:val="24"/>
        </w:rPr>
      </w:pPr>
      <w:r w:rsidRPr="002A41CE">
        <w:rPr>
          <w:rFonts w:ascii="Times New Roman" w:hAnsi="Times New Roman" w:cs="Times New Roman"/>
          <w:sz w:val="24"/>
          <w:szCs w:val="24"/>
        </w:rPr>
        <w:t xml:space="preserve">Mit Urteil vom 10.11.2021 hat der </w:t>
      </w:r>
      <w:r w:rsidRPr="002A41CE">
        <w:rPr>
          <w:rFonts w:ascii="Times New Roman" w:hAnsi="Times New Roman" w:cs="Times New Roman"/>
          <w:b/>
          <w:sz w:val="24"/>
          <w:szCs w:val="24"/>
        </w:rPr>
        <w:t>BGH</w:t>
      </w:r>
      <w:r w:rsidRPr="002A41CE">
        <w:rPr>
          <w:rFonts w:ascii="Times New Roman" w:hAnsi="Times New Roman" w:cs="Times New Roman"/>
          <w:sz w:val="24"/>
          <w:szCs w:val="24"/>
        </w:rPr>
        <w:t xml:space="preserve"> entschieden, dass die Kosten der Fällung eines morschen, nicht mehr </w:t>
      </w:r>
      <w:r w:rsidR="00B56758" w:rsidRPr="002A41CE">
        <w:rPr>
          <w:rFonts w:ascii="Times New Roman" w:hAnsi="Times New Roman" w:cs="Times New Roman"/>
          <w:sz w:val="24"/>
          <w:szCs w:val="24"/>
        </w:rPr>
        <w:t>standsicheren</w:t>
      </w:r>
      <w:r w:rsidRPr="002A41CE">
        <w:rPr>
          <w:rFonts w:ascii="Times New Roman" w:hAnsi="Times New Roman" w:cs="Times New Roman"/>
          <w:sz w:val="24"/>
          <w:szCs w:val="24"/>
        </w:rPr>
        <w:t xml:space="preserve"> Baumes grundsätzlich umlagefähige Kosten der Gartenpflege sind. Denn das Entfernen eines solchen Baums unterfällt als regelmäßig vorbereitende, ebenso vorhersehbare wie unter Wahrung des Wirtschaftlichkeitsgrundsatz teure Maßnahmen eine Erneuerung von Pflanzen und Gehölzen bereits den Begriff der </w:t>
      </w:r>
      <w:r w:rsidRPr="002A41CE">
        <w:rPr>
          <w:rFonts w:ascii="Times New Roman" w:hAnsi="Times New Roman" w:cs="Times New Roman"/>
          <w:i/>
          <w:sz w:val="24"/>
          <w:szCs w:val="24"/>
        </w:rPr>
        <w:t>Kosten der Gartenpflege</w:t>
      </w:r>
      <w:r w:rsidRPr="002A41CE">
        <w:rPr>
          <w:rFonts w:ascii="Times New Roman" w:hAnsi="Times New Roman" w:cs="Times New Roman"/>
          <w:sz w:val="24"/>
          <w:szCs w:val="24"/>
        </w:rPr>
        <w:t xml:space="preserve"> in der Betriebskostenverordnung. Dazu zählen sämtliche Maßnahmen – in nicht sicher vorher bestimmbaren Zeitintervallen –, die bei Eintritt von Pflegebedarf objektiv dem Erhalt der Gartenanlage dienen. Dass es zu keiner Ersatzanpflanzung kommt, ist irrelevant. Da ein Garten aus einer Vielzahl von Pflanzen und Gehölzen bestehen und deren konkrete Zusammensetzung regelmäßig nicht geschuldet sein wird, bedeutet die Morschheit eines einzelnen Baums oder das Absterben einer Pflanze grundsätzlich noch nicht das Vorliegen eines Mangels, der Aufwendungen für Instandhaltung/Instandsetzung im </w:t>
      </w:r>
      <w:r w:rsidRPr="002A41CE">
        <w:rPr>
          <w:rFonts w:ascii="Times New Roman" w:hAnsi="Times New Roman" w:cs="Times New Roman"/>
          <w:sz w:val="24"/>
          <w:szCs w:val="24"/>
        </w:rPr>
        <w:lastRenderedPageBreak/>
        <w:t xml:space="preserve">Sinne von </w:t>
      </w:r>
      <w:r>
        <w:rPr>
          <w:rFonts w:ascii="Times New Roman" w:hAnsi="Times New Roman" w:cs="Times New Roman"/>
          <w:sz w:val="24"/>
          <w:szCs w:val="24"/>
        </w:rPr>
        <w:t>§</w:t>
      </w:r>
      <w:r w:rsidRPr="002A41CE">
        <w:rPr>
          <w:rFonts w:ascii="Times New Roman" w:hAnsi="Times New Roman" w:cs="Times New Roman"/>
          <w:sz w:val="24"/>
          <w:szCs w:val="24"/>
        </w:rPr>
        <w:t xml:space="preserve"> 1 Abs. 2 </w:t>
      </w:r>
      <w:r>
        <w:rPr>
          <w:rFonts w:ascii="Times New Roman" w:hAnsi="Times New Roman" w:cs="Times New Roman"/>
          <w:sz w:val="24"/>
          <w:szCs w:val="24"/>
        </w:rPr>
        <w:t>Nr.</w:t>
      </w:r>
      <w:r w:rsidRPr="002A41CE">
        <w:rPr>
          <w:rFonts w:ascii="Times New Roman" w:hAnsi="Times New Roman" w:cs="Times New Roman"/>
          <w:sz w:val="24"/>
          <w:szCs w:val="24"/>
        </w:rPr>
        <w:t xml:space="preserve"> 2 Betriebskostenverordnung auslöst, die der Vermieter zu tragen hätte. Dass der Vermieter mit dem Fällen eines Baums zugleich seine Verkehrssicherungspflicht nachkommt, ist als rein haftungsrechtlicher Gesichtspunkt kein </w:t>
      </w:r>
      <w:r w:rsidR="00B56758" w:rsidRPr="002A41CE">
        <w:rPr>
          <w:rFonts w:ascii="Times New Roman" w:hAnsi="Times New Roman" w:cs="Times New Roman"/>
          <w:sz w:val="24"/>
          <w:szCs w:val="24"/>
        </w:rPr>
        <w:t>maßgebendes</w:t>
      </w:r>
      <w:r w:rsidRPr="002A41CE">
        <w:rPr>
          <w:rFonts w:ascii="Times New Roman" w:hAnsi="Times New Roman" w:cs="Times New Roman"/>
          <w:sz w:val="24"/>
          <w:szCs w:val="24"/>
        </w:rPr>
        <w:t xml:space="preserve"> Kriterium zur Abgrenzung zwischen Instandhaltung – und Betriebskosten. Löst das Fällen eines Baumes erhebliche Kosten aus, kann der Vermieter nach den Umständen des Einzelfalls gehalten sein, die Kosten – jedenfalls wenn der Mieter entsprechenden Vortrag hält – auf mehrere Jahre zu verteilen.</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b/>
          <w:sz w:val="24"/>
          <w:szCs w:val="24"/>
        </w:rPr>
      </w:pPr>
      <w:r w:rsidRPr="002A41CE">
        <w:rPr>
          <w:rFonts w:ascii="Times New Roman" w:hAnsi="Times New Roman" w:cs="Times New Roman"/>
          <w:b/>
          <w:sz w:val="24"/>
          <w:szCs w:val="24"/>
        </w:rPr>
        <w:t>Baulärm kein Mangel?</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sz w:val="24"/>
          <w:szCs w:val="24"/>
        </w:rPr>
      </w:pPr>
      <w:r w:rsidRPr="002A41CE">
        <w:rPr>
          <w:rFonts w:ascii="Times New Roman" w:hAnsi="Times New Roman" w:cs="Times New Roman"/>
          <w:sz w:val="24"/>
          <w:szCs w:val="24"/>
        </w:rPr>
        <w:t xml:space="preserve">Der </w:t>
      </w:r>
      <w:r w:rsidRPr="002A41CE">
        <w:rPr>
          <w:rFonts w:ascii="Times New Roman" w:hAnsi="Times New Roman" w:cs="Times New Roman"/>
          <w:b/>
          <w:sz w:val="24"/>
          <w:szCs w:val="24"/>
        </w:rPr>
        <w:t>BGH</w:t>
      </w:r>
      <w:r w:rsidRPr="002A41CE">
        <w:rPr>
          <w:rFonts w:ascii="Times New Roman" w:hAnsi="Times New Roman" w:cs="Times New Roman"/>
          <w:sz w:val="24"/>
          <w:szCs w:val="24"/>
        </w:rPr>
        <w:t xml:space="preserve"> hat am 24.11.2021 entschieden, dass eine nach Abschluss des Mietvert</w:t>
      </w:r>
      <w:r>
        <w:rPr>
          <w:rFonts w:ascii="Times New Roman" w:hAnsi="Times New Roman" w:cs="Times New Roman"/>
          <w:sz w:val="24"/>
          <w:szCs w:val="24"/>
        </w:rPr>
        <w:t xml:space="preserve">rags eintretende erhöhte Lärm- </w:t>
      </w:r>
      <w:r w:rsidRPr="002A41CE">
        <w:rPr>
          <w:rFonts w:ascii="Times New Roman" w:hAnsi="Times New Roman" w:cs="Times New Roman"/>
          <w:sz w:val="24"/>
          <w:szCs w:val="24"/>
        </w:rPr>
        <w:t>und Schmutz</w:t>
      </w:r>
      <w:r>
        <w:rPr>
          <w:rFonts w:ascii="Times New Roman" w:hAnsi="Times New Roman" w:cs="Times New Roman"/>
          <w:sz w:val="24"/>
          <w:szCs w:val="24"/>
        </w:rPr>
        <w:t>-</w:t>
      </w:r>
      <w:r w:rsidRPr="002A41CE">
        <w:rPr>
          <w:rFonts w:ascii="Times New Roman" w:hAnsi="Times New Roman" w:cs="Times New Roman"/>
          <w:sz w:val="24"/>
          <w:szCs w:val="24"/>
        </w:rPr>
        <w:t>immission, auch wenn sie von einer auf dem Nachbargrundstück betriebenen Baustelle herrührt, bei Fehlen anderslautender Beschaffenheitsvereinbarungen grundsätzlich keinen zur Mietminderung berechtigten Mangel der Mietwohnung begründen kann, wenn auch der Vermieter die I</w:t>
      </w:r>
      <w:r>
        <w:rPr>
          <w:rFonts w:ascii="Times New Roman" w:hAnsi="Times New Roman" w:cs="Times New Roman"/>
          <w:sz w:val="24"/>
          <w:szCs w:val="24"/>
        </w:rPr>
        <w:t xml:space="preserve">mmissionen ohne eigene Abwehr- </w:t>
      </w:r>
      <w:r w:rsidRPr="002A41CE">
        <w:rPr>
          <w:rFonts w:ascii="Times New Roman" w:hAnsi="Times New Roman" w:cs="Times New Roman"/>
          <w:sz w:val="24"/>
          <w:szCs w:val="24"/>
        </w:rPr>
        <w:t>oder Entschädigungsmöglichkeiten hinnehmen muss. Eine anderslautende Beschaffenheitsvereinbarung der Parteien kann nicht mit der Begründung bejaht werden, die Freiheit der Wohnung von Baulärm werde regelmäßig stillschweigend zum Gegenstand des Mietvertrages. Dies gilt auch dann, wenn auf dem bisher als Kleingartenkolonie genutzten gegenüberliegenden innerstädtischen Grundstück eine Mehrhausanlage mit 6-8 Vollgeschossen samt Unterkellerung und Tiefgarage errichtet wird.</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b/>
          <w:sz w:val="24"/>
          <w:szCs w:val="24"/>
        </w:rPr>
      </w:pPr>
      <w:r w:rsidRPr="002A41CE">
        <w:rPr>
          <w:rFonts w:ascii="Times New Roman" w:hAnsi="Times New Roman" w:cs="Times New Roman"/>
          <w:b/>
          <w:sz w:val="24"/>
          <w:szCs w:val="24"/>
        </w:rPr>
        <w:t>Undichte Silikonfuge im Duschbereich</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sz w:val="24"/>
          <w:szCs w:val="24"/>
        </w:rPr>
      </w:pPr>
      <w:r w:rsidRPr="002A41CE">
        <w:rPr>
          <w:rFonts w:ascii="Times New Roman" w:hAnsi="Times New Roman" w:cs="Times New Roman"/>
          <w:sz w:val="24"/>
          <w:szCs w:val="24"/>
        </w:rPr>
        <w:t xml:space="preserve">Der </w:t>
      </w:r>
      <w:r w:rsidRPr="002A41CE">
        <w:rPr>
          <w:rFonts w:ascii="Times New Roman" w:hAnsi="Times New Roman" w:cs="Times New Roman"/>
          <w:b/>
          <w:sz w:val="24"/>
          <w:szCs w:val="24"/>
        </w:rPr>
        <w:t>BGH</w:t>
      </w:r>
      <w:r w:rsidRPr="002A41CE">
        <w:rPr>
          <w:rFonts w:ascii="Times New Roman" w:hAnsi="Times New Roman" w:cs="Times New Roman"/>
          <w:sz w:val="24"/>
          <w:szCs w:val="24"/>
        </w:rPr>
        <w:t xml:space="preserve"> hat mit Urteil vom 20.10.2021 entschieden, dass der Wohngebäudeversicherer nicht für Nässeschäden aufgrund einer undichten Fuge zwischen einer Duschwanne und einer angrenzenden Wand einzustehen hat. Nach den Versicherungsbedingungen leistet der Versicherer Entschädigung für versicherte Sachen, die </w:t>
      </w:r>
      <w:r w:rsidRPr="002A41CE">
        <w:rPr>
          <w:rFonts w:ascii="Times New Roman" w:hAnsi="Times New Roman" w:cs="Times New Roman"/>
          <w:sz w:val="24"/>
          <w:szCs w:val="24"/>
        </w:rPr>
        <w:t xml:space="preserve">durch bestimmungswidrig austretendes Leitungswasser zerstört oder beschädigt werden oder </w:t>
      </w:r>
      <w:r w:rsidR="00B56758" w:rsidRPr="002A41CE">
        <w:rPr>
          <w:rFonts w:ascii="Times New Roman" w:hAnsi="Times New Roman" w:cs="Times New Roman"/>
          <w:sz w:val="24"/>
          <w:szCs w:val="24"/>
        </w:rPr>
        <w:t>abhandenkommen</w:t>
      </w:r>
      <w:r w:rsidRPr="002A41CE">
        <w:rPr>
          <w:rFonts w:ascii="Times New Roman" w:hAnsi="Times New Roman" w:cs="Times New Roman"/>
          <w:sz w:val="24"/>
          <w:szCs w:val="24"/>
        </w:rPr>
        <w:t xml:space="preserve">. Nach den Bedingungen muss das Leitungswasser aus Rohren der Wasserversorgung (Zu– und Ableitungen) oder damit verbundenen Schläuchen, den mit diesen Rohrsystem verbundenen sonstigen Einrichtungen oder deren wasserführenden Teilen, aus Einrichtungen der Warmwasser– oder Dampfheizung, aus </w:t>
      </w:r>
      <w:r w:rsidR="00B56758">
        <w:rPr>
          <w:rFonts w:ascii="Times New Roman" w:hAnsi="Times New Roman" w:cs="Times New Roman"/>
          <w:sz w:val="24"/>
          <w:szCs w:val="24"/>
        </w:rPr>
        <w:t>Klimas–, Wärmepumpen oder Solar</w:t>
      </w:r>
      <w:r w:rsidRPr="002A41CE">
        <w:rPr>
          <w:rFonts w:ascii="Times New Roman" w:hAnsi="Times New Roman" w:cs="Times New Roman"/>
          <w:sz w:val="24"/>
          <w:szCs w:val="24"/>
        </w:rPr>
        <w:t xml:space="preserve">heizungen, aus Wasserlösch – und Berieselungsanlagen sowie Wasserbetten und Aquarien ausgetreten sein. </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sz w:val="24"/>
          <w:szCs w:val="24"/>
        </w:rPr>
      </w:pPr>
      <w:r w:rsidRPr="002A41CE">
        <w:rPr>
          <w:rFonts w:ascii="Times New Roman" w:hAnsi="Times New Roman" w:cs="Times New Roman"/>
          <w:sz w:val="24"/>
          <w:szCs w:val="24"/>
        </w:rPr>
        <w:t>Diese Voraussetzungen sind hinsichtlich einer undichten Fuge, die keine Verbindung mit dem Rohrsystem aufweist, zu verneinen.</w:t>
      </w:r>
    </w:p>
    <w:p w:rsidR="002A41CE" w:rsidRPr="002A41CE" w:rsidRDefault="002A41CE" w:rsidP="002A41CE">
      <w:pPr>
        <w:pStyle w:val="NurText"/>
        <w:rPr>
          <w:rFonts w:ascii="Times New Roman" w:hAnsi="Times New Roman" w:cs="Times New Roman"/>
          <w:sz w:val="24"/>
          <w:szCs w:val="24"/>
        </w:rPr>
      </w:pPr>
    </w:p>
    <w:p w:rsidR="002A41CE" w:rsidRPr="002A41CE" w:rsidRDefault="002A41CE" w:rsidP="002A41CE">
      <w:pPr>
        <w:pStyle w:val="NurText"/>
        <w:rPr>
          <w:rFonts w:ascii="Times New Roman" w:hAnsi="Times New Roman" w:cs="Times New Roman"/>
          <w:sz w:val="24"/>
          <w:szCs w:val="24"/>
        </w:rPr>
      </w:pPr>
      <w:r w:rsidRPr="002A41CE">
        <w:rPr>
          <w:rFonts w:ascii="Times New Roman" w:hAnsi="Times New Roman" w:cs="Times New Roman"/>
          <w:sz w:val="24"/>
          <w:szCs w:val="24"/>
        </w:rPr>
        <w:t>Diese Entscheidung ist zu den Versicherungsbedingungen Teil A Paragraph 3 Nr. 3 VGB 2008 ergangen.</w:t>
      </w:r>
    </w:p>
    <w:p w:rsidR="00D17E08" w:rsidRDefault="00D17E08" w:rsidP="001466EA">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b/>
          <w:sz w:val="24"/>
          <w:szCs w:val="24"/>
        </w:rPr>
      </w:pPr>
      <w:r w:rsidRPr="00623859">
        <w:rPr>
          <w:rFonts w:ascii="Times New Roman" w:hAnsi="Times New Roman" w:cs="Times New Roman"/>
          <w:b/>
          <w:sz w:val="24"/>
          <w:szCs w:val="24"/>
        </w:rPr>
        <w:t>Umlage Kosten Kabelanschluss</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sz w:val="24"/>
          <w:szCs w:val="24"/>
        </w:rPr>
      </w:pPr>
      <w:r w:rsidRPr="00623859">
        <w:rPr>
          <w:rFonts w:ascii="Times New Roman" w:hAnsi="Times New Roman" w:cs="Times New Roman"/>
          <w:sz w:val="24"/>
          <w:szCs w:val="24"/>
        </w:rPr>
        <w:t xml:space="preserve">Der </w:t>
      </w:r>
      <w:r w:rsidRPr="00623859">
        <w:rPr>
          <w:rFonts w:ascii="Times New Roman" w:hAnsi="Times New Roman" w:cs="Times New Roman"/>
          <w:b/>
          <w:sz w:val="24"/>
          <w:szCs w:val="24"/>
        </w:rPr>
        <w:t>BGH</w:t>
      </w:r>
      <w:r w:rsidRPr="00623859">
        <w:rPr>
          <w:rFonts w:ascii="Times New Roman" w:hAnsi="Times New Roman" w:cs="Times New Roman"/>
          <w:sz w:val="24"/>
          <w:szCs w:val="24"/>
        </w:rPr>
        <w:t xml:space="preserve"> hat mit Urteil vom 18.11.2021 entschieden, dass die Umlage der Kosten eines Kabelanschlusses auf dem Mieter nach derzeitigem Recht selbst Vermietern mit umfangreichen Wohnungsbestand auch ohne vorzeitige isolierte Kündigungsmöglichkeit möglich ist, wenn das Mietverhältnis selbst vor Ablauf von 24. Monaten kündbar ist.</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sz w:val="24"/>
          <w:szCs w:val="24"/>
        </w:rPr>
      </w:pPr>
      <w:r w:rsidRPr="00623859">
        <w:rPr>
          <w:rFonts w:ascii="Times New Roman" w:hAnsi="Times New Roman" w:cs="Times New Roman"/>
          <w:sz w:val="24"/>
          <w:szCs w:val="24"/>
        </w:rPr>
        <w:t xml:space="preserve">Begründet wurde das Urteil damit, dass der Vermieter ausweislich des Mietvertrags ein Mietverhältnis auf unbestimmte Zeit abgeschlossen hat. Damit ist es dem Mieter unbenommen, mit dem Mietverhältnis auch den Vertrag über die Telekommunikationsdienstleistungen vor Ablauf eines Zeitraums von mehr als 24 Monaten zu kündigen. </w:t>
      </w:r>
      <w:r>
        <w:rPr>
          <w:rFonts w:ascii="Times New Roman" w:hAnsi="Times New Roman" w:cs="Times New Roman"/>
          <w:sz w:val="24"/>
          <w:szCs w:val="24"/>
        </w:rPr>
        <w:t>§</w:t>
      </w:r>
      <w:r w:rsidRPr="00623859">
        <w:rPr>
          <w:rFonts w:ascii="Times New Roman" w:hAnsi="Times New Roman" w:cs="Times New Roman"/>
          <w:sz w:val="24"/>
          <w:szCs w:val="24"/>
        </w:rPr>
        <w:t xml:space="preserve"> 43</w:t>
      </w:r>
      <w:r w:rsidR="00B56758" w:rsidRPr="00623859">
        <w:rPr>
          <w:rFonts w:ascii="Times New Roman" w:hAnsi="Times New Roman" w:cs="Times New Roman"/>
          <w:sz w:val="24"/>
          <w:szCs w:val="24"/>
        </w:rPr>
        <w:t>b Satz</w:t>
      </w:r>
      <w:r w:rsidRPr="00623859">
        <w:rPr>
          <w:rFonts w:ascii="Times New Roman" w:hAnsi="Times New Roman" w:cs="Times New Roman"/>
          <w:sz w:val="24"/>
          <w:szCs w:val="24"/>
        </w:rPr>
        <w:t xml:space="preserve"> 1 TKG ist somit nicht direkt anwendbar.</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b/>
          <w:sz w:val="24"/>
          <w:szCs w:val="24"/>
        </w:rPr>
      </w:pPr>
      <w:r w:rsidRPr="00623859">
        <w:rPr>
          <w:rFonts w:ascii="Times New Roman" w:hAnsi="Times New Roman" w:cs="Times New Roman"/>
          <w:b/>
          <w:sz w:val="24"/>
          <w:szCs w:val="24"/>
        </w:rPr>
        <w:t xml:space="preserve">Kürzung bei </w:t>
      </w:r>
      <w:r w:rsidR="00B56758" w:rsidRPr="00623859">
        <w:rPr>
          <w:rFonts w:ascii="Times New Roman" w:hAnsi="Times New Roman" w:cs="Times New Roman"/>
          <w:b/>
          <w:sz w:val="24"/>
          <w:szCs w:val="24"/>
        </w:rPr>
        <w:t>Betriebskosten,</w:t>
      </w:r>
      <w:r w:rsidRPr="00623859">
        <w:rPr>
          <w:rFonts w:ascii="Times New Roman" w:hAnsi="Times New Roman" w:cs="Times New Roman"/>
          <w:b/>
          <w:sz w:val="24"/>
          <w:szCs w:val="24"/>
        </w:rPr>
        <w:t xml:space="preserve"> wenn kein Wärmemengenzähler vorhanden ist</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sz w:val="24"/>
          <w:szCs w:val="24"/>
        </w:rPr>
      </w:pPr>
      <w:r w:rsidRPr="00623859">
        <w:rPr>
          <w:rFonts w:ascii="Times New Roman" w:hAnsi="Times New Roman" w:cs="Times New Roman"/>
          <w:sz w:val="24"/>
          <w:szCs w:val="24"/>
        </w:rPr>
        <w:lastRenderedPageBreak/>
        <w:t xml:space="preserve">Mit Urteil vom 12.1.2022 hat der </w:t>
      </w:r>
      <w:r w:rsidRPr="00623859">
        <w:rPr>
          <w:rFonts w:ascii="Times New Roman" w:hAnsi="Times New Roman" w:cs="Times New Roman"/>
          <w:b/>
          <w:sz w:val="24"/>
          <w:szCs w:val="24"/>
        </w:rPr>
        <w:t>BGH</w:t>
      </w:r>
      <w:r w:rsidRPr="00623859">
        <w:rPr>
          <w:rFonts w:ascii="Times New Roman" w:hAnsi="Times New Roman" w:cs="Times New Roman"/>
          <w:sz w:val="24"/>
          <w:szCs w:val="24"/>
        </w:rPr>
        <w:t xml:space="preserve"> entschieden, dass von einer nicht verbrauchsabhängigen Abrechnung im Sinne von </w:t>
      </w:r>
      <w:r>
        <w:rPr>
          <w:rFonts w:ascii="Times New Roman" w:hAnsi="Times New Roman" w:cs="Times New Roman"/>
          <w:sz w:val="24"/>
          <w:szCs w:val="24"/>
        </w:rPr>
        <w:t>§</w:t>
      </w:r>
      <w:r w:rsidRPr="00623859">
        <w:rPr>
          <w:rFonts w:ascii="Times New Roman" w:hAnsi="Times New Roman" w:cs="Times New Roman"/>
          <w:sz w:val="24"/>
          <w:szCs w:val="24"/>
        </w:rPr>
        <w:t xml:space="preserve"> 12 Abs. 1 Satz 1 Heizkostenverordnung auch dann auszugehen ist, wenn zwar die Wohnung über Heizkostenverteiler und Wärmezähler, jedoc</w:t>
      </w:r>
      <w:r>
        <w:rPr>
          <w:rFonts w:ascii="Times New Roman" w:hAnsi="Times New Roman" w:cs="Times New Roman"/>
          <w:sz w:val="24"/>
          <w:szCs w:val="24"/>
        </w:rPr>
        <w:t>h die verbundene zentrale Wärme-</w:t>
      </w:r>
      <w:r w:rsidRPr="00623859">
        <w:rPr>
          <w:rFonts w:ascii="Times New Roman" w:hAnsi="Times New Roman" w:cs="Times New Roman"/>
          <w:sz w:val="24"/>
          <w:szCs w:val="24"/>
        </w:rPr>
        <w:t xml:space="preserve"> und Warmwasserversorgungsanlage nicht über den nach </w:t>
      </w:r>
      <w:r>
        <w:rPr>
          <w:rFonts w:ascii="Times New Roman" w:hAnsi="Times New Roman" w:cs="Times New Roman"/>
          <w:sz w:val="24"/>
          <w:szCs w:val="24"/>
        </w:rPr>
        <w:t>§</w:t>
      </w:r>
      <w:r w:rsidRPr="00623859">
        <w:rPr>
          <w:rFonts w:ascii="Times New Roman" w:hAnsi="Times New Roman" w:cs="Times New Roman"/>
          <w:sz w:val="24"/>
          <w:szCs w:val="24"/>
        </w:rPr>
        <w:t xml:space="preserve"> 9 Abs. 2 Satz 1 Heizkostenverordnung vorgesehenen Wärmemengenzähler verfügt. Beim Kürzungsrecht des Mieters handelt e</w:t>
      </w:r>
      <w:r>
        <w:rPr>
          <w:rFonts w:ascii="Times New Roman" w:hAnsi="Times New Roman" w:cs="Times New Roman"/>
          <w:sz w:val="24"/>
          <w:szCs w:val="24"/>
        </w:rPr>
        <w:t>s sich um einen pauschalierte</w:t>
      </w:r>
      <w:r w:rsidRPr="00623859">
        <w:rPr>
          <w:rFonts w:ascii="Times New Roman" w:hAnsi="Times New Roman" w:cs="Times New Roman"/>
          <w:sz w:val="24"/>
          <w:szCs w:val="24"/>
        </w:rPr>
        <w:t>n Schadensersatzanspruch wegen Nichtbeachtung sich aus der Heizkostenverordnung ergebe</w:t>
      </w:r>
      <w:r>
        <w:rPr>
          <w:rFonts w:ascii="Times New Roman" w:hAnsi="Times New Roman" w:cs="Times New Roman"/>
          <w:sz w:val="24"/>
          <w:szCs w:val="24"/>
        </w:rPr>
        <w:t>n da und als mietvertraglichen Nebenpflichten einzuordnende</w:t>
      </w:r>
      <w:r w:rsidRPr="00623859">
        <w:rPr>
          <w:rFonts w:ascii="Times New Roman" w:hAnsi="Times New Roman" w:cs="Times New Roman"/>
          <w:sz w:val="24"/>
          <w:szCs w:val="24"/>
        </w:rPr>
        <w:t xml:space="preserve"> Vermieterpflichten.</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b/>
          <w:sz w:val="24"/>
          <w:szCs w:val="24"/>
        </w:rPr>
      </w:pPr>
      <w:r>
        <w:rPr>
          <w:rFonts w:ascii="Times New Roman" w:hAnsi="Times New Roman" w:cs="Times New Roman"/>
          <w:b/>
          <w:sz w:val="24"/>
          <w:szCs w:val="24"/>
        </w:rPr>
        <w:t>Keine Auswechslung eines WEG-</w:t>
      </w:r>
      <w:r w:rsidRPr="00623859">
        <w:rPr>
          <w:rFonts w:ascii="Times New Roman" w:hAnsi="Times New Roman" w:cs="Times New Roman"/>
          <w:b/>
          <w:sz w:val="24"/>
          <w:szCs w:val="24"/>
        </w:rPr>
        <w:t>Mitbewohners</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sz w:val="24"/>
          <w:szCs w:val="24"/>
        </w:rPr>
      </w:pPr>
      <w:r w:rsidRPr="00623859">
        <w:rPr>
          <w:rFonts w:ascii="Times New Roman" w:hAnsi="Times New Roman" w:cs="Times New Roman"/>
          <w:sz w:val="24"/>
          <w:szCs w:val="24"/>
        </w:rPr>
        <w:t xml:space="preserve">Das </w:t>
      </w:r>
      <w:r w:rsidRPr="00623859">
        <w:rPr>
          <w:rFonts w:ascii="Times New Roman" w:hAnsi="Times New Roman" w:cs="Times New Roman"/>
          <w:b/>
          <w:sz w:val="24"/>
          <w:szCs w:val="24"/>
        </w:rPr>
        <w:t>Landgericht Berlin</w:t>
      </w:r>
      <w:r w:rsidRPr="00623859">
        <w:rPr>
          <w:rFonts w:ascii="Times New Roman" w:hAnsi="Times New Roman" w:cs="Times New Roman"/>
          <w:sz w:val="24"/>
          <w:szCs w:val="24"/>
        </w:rPr>
        <w:t xml:space="preserve"> hat am 18</w:t>
      </w:r>
      <w:r>
        <w:rPr>
          <w:rFonts w:ascii="Times New Roman" w:hAnsi="Times New Roman" w:cs="Times New Roman"/>
          <w:sz w:val="24"/>
          <w:szCs w:val="24"/>
        </w:rPr>
        <w:t>.8.2021 folgendes entschieden: E</w:t>
      </w:r>
      <w:r w:rsidRPr="00623859">
        <w:rPr>
          <w:rFonts w:ascii="Times New Roman" w:hAnsi="Times New Roman" w:cs="Times New Roman"/>
          <w:sz w:val="24"/>
          <w:szCs w:val="24"/>
        </w:rPr>
        <w:t>inem Vermieter ist es auch dann nicht zuzumuten, der Auswechslung einzelne Mieter zustimmen zu müssen, wenn er bei Vertragsabschluss wusste, dass die Mieter eine Wohngemeinschaft betreiben wollen und deshalb ein Interesse haben, bei Aus</w:t>
      </w:r>
      <w:r>
        <w:rPr>
          <w:rFonts w:ascii="Times New Roman" w:hAnsi="Times New Roman" w:cs="Times New Roman"/>
          <w:sz w:val="24"/>
          <w:szCs w:val="24"/>
        </w:rPr>
        <w:t>zug einzelner Mieter neue Wohngemeinschaftsm</w:t>
      </w:r>
      <w:r w:rsidRPr="00623859">
        <w:rPr>
          <w:rFonts w:ascii="Times New Roman" w:hAnsi="Times New Roman" w:cs="Times New Roman"/>
          <w:sz w:val="24"/>
          <w:szCs w:val="24"/>
        </w:rPr>
        <w:t>itglieder in der Wohnung aufzunehmen. Wenn der Mietvertrag keine Regelung für die Auswechslu</w:t>
      </w:r>
      <w:r>
        <w:rPr>
          <w:rFonts w:ascii="Times New Roman" w:hAnsi="Times New Roman" w:cs="Times New Roman"/>
          <w:sz w:val="24"/>
          <w:szCs w:val="24"/>
        </w:rPr>
        <w:t>ng einzelner Wohngemeinschaftsm</w:t>
      </w:r>
      <w:r w:rsidRPr="00623859">
        <w:rPr>
          <w:rFonts w:ascii="Times New Roman" w:hAnsi="Times New Roman" w:cs="Times New Roman"/>
          <w:sz w:val="24"/>
          <w:szCs w:val="24"/>
        </w:rPr>
        <w:t xml:space="preserve">itglieder vorsieht, sind die Mieter vielmehr auf das Recht zur anteiligen Untervermietung der Wohnung nach </w:t>
      </w:r>
      <w:r>
        <w:rPr>
          <w:rFonts w:ascii="Times New Roman" w:hAnsi="Times New Roman" w:cs="Times New Roman"/>
          <w:sz w:val="24"/>
          <w:szCs w:val="24"/>
        </w:rPr>
        <w:t>§</w:t>
      </w:r>
      <w:r w:rsidRPr="00623859">
        <w:rPr>
          <w:rFonts w:ascii="Times New Roman" w:hAnsi="Times New Roman" w:cs="Times New Roman"/>
          <w:sz w:val="24"/>
          <w:szCs w:val="24"/>
        </w:rPr>
        <w:t xml:space="preserve"> 553 BGB beschränkt.</w:t>
      </w:r>
    </w:p>
    <w:p w:rsidR="00623859" w:rsidRPr="00623859" w:rsidRDefault="00623859" w:rsidP="00623859">
      <w:pPr>
        <w:pStyle w:val="NurText"/>
        <w:rPr>
          <w:rFonts w:ascii="Times New Roman" w:hAnsi="Times New Roman" w:cs="Times New Roman"/>
          <w:sz w:val="24"/>
          <w:szCs w:val="24"/>
        </w:rPr>
      </w:pPr>
    </w:p>
    <w:p w:rsidR="00623859" w:rsidRPr="00623859" w:rsidRDefault="00623859" w:rsidP="00623859">
      <w:pPr>
        <w:pStyle w:val="NurText"/>
        <w:rPr>
          <w:rFonts w:ascii="Times New Roman" w:hAnsi="Times New Roman" w:cs="Times New Roman"/>
          <w:sz w:val="24"/>
          <w:szCs w:val="24"/>
        </w:rPr>
      </w:pPr>
      <w:r w:rsidRPr="00623859">
        <w:rPr>
          <w:rFonts w:ascii="Times New Roman" w:hAnsi="Times New Roman" w:cs="Times New Roman"/>
          <w:sz w:val="24"/>
          <w:szCs w:val="24"/>
        </w:rPr>
        <w:t xml:space="preserve">Die Frage, ob ein Anspruch auf Austausch von WG-Mitgliedern besteht, wird in Rechtsprechung und Literatur unterschiedlich eingeschätzt. </w:t>
      </w:r>
      <w:r w:rsidR="00B56758" w:rsidRPr="00623859">
        <w:rPr>
          <w:rFonts w:ascii="Times New Roman" w:hAnsi="Times New Roman" w:cs="Times New Roman"/>
          <w:sz w:val="24"/>
          <w:szCs w:val="24"/>
        </w:rPr>
        <w:t>Eine höchstrichterliche Rechtsprechung</w:t>
      </w:r>
      <w:r w:rsidRPr="00623859">
        <w:rPr>
          <w:rFonts w:ascii="Times New Roman" w:hAnsi="Times New Roman" w:cs="Times New Roman"/>
          <w:sz w:val="24"/>
          <w:szCs w:val="24"/>
        </w:rPr>
        <w:t xml:space="preserve"> steht bislang aus. Das Landger</w:t>
      </w:r>
      <w:r>
        <w:rPr>
          <w:rFonts w:ascii="Times New Roman" w:hAnsi="Times New Roman" w:cs="Times New Roman"/>
          <w:sz w:val="24"/>
          <w:szCs w:val="24"/>
        </w:rPr>
        <w:t>icht verneint den Anspruch auf A</w:t>
      </w:r>
      <w:r w:rsidRPr="00623859">
        <w:rPr>
          <w:rFonts w:ascii="Times New Roman" w:hAnsi="Times New Roman" w:cs="Times New Roman"/>
          <w:sz w:val="24"/>
          <w:szCs w:val="24"/>
        </w:rPr>
        <w:t>uswechseln des Mitbewohners. Ansonsten wäre der Vermieter unbegrenzt an den Vertrag gebunden, die Mieter könnten den Mietvertrag aber an immer neue Generationen von Mitgliedern übertragen, ohne dass der Vertrag jemals beendet wäre. Die Intere</w:t>
      </w:r>
      <w:r>
        <w:rPr>
          <w:rFonts w:ascii="Times New Roman" w:hAnsi="Times New Roman" w:cs="Times New Roman"/>
          <w:sz w:val="24"/>
          <w:szCs w:val="24"/>
        </w:rPr>
        <w:t>ssen der Mie</w:t>
      </w:r>
      <w:r w:rsidR="00B56758">
        <w:rPr>
          <w:rFonts w:ascii="Times New Roman" w:hAnsi="Times New Roman" w:cs="Times New Roman"/>
          <w:sz w:val="24"/>
          <w:szCs w:val="24"/>
        </w:rPr>
        <w:t>ter sein durch die Unter</w:t>
      </w:r>
      <w:r w:rsidR="00B56758">
        <w:rPr>
          <w:rFonts w:ascii="Times New Roman" w:hAnsi="Times New Roman" w:cs="Times New Roman"/>
          <w:sz w:val="24"/>
          <w:szCs w:val="24"/>
        </w:rPr>
        <w:t>vermiet</w:t>
      </w:r>
      <w:r>
        <w:rPr>
          <w:rFonts w:ascii="Times New Roman" w:hAnsi="Times New Roman" w:cs="Times New Roman"/>
          <w:sz w:val="24"/>
          <w:szCs w:val="24"/>
        </w:rPr>
        <w:t>l</w:t>
      </w:r>
      <w:r w:rsidRPr="00623859">
        <w:rPr>
          <w:rFonts w:ascii="Times New Roman" w:hAnsi="Times New Roman" w:cs="Times New Roman"/>
          <w:sz w:val="24"/>
          <w:szCs w:val="24"/>
        </w:rPr>
        <w:t>ösung hinreichend ge</w:t>
      </w:r>
      <w:r>
        <w:rPr>
          <w:rFonts w:ascii="Times New Roman" w:hAnsi="Times New Roman" w:cs="Times New Roman"/>
          <w:sz w:val="24"/>
          <w:szCs w:val="24"/>
        </w:rPr>
        <w:t>wahrt. Der dadurch entstehende M</w:t>
      </w:r>
      <w:r w:rsidRPr="00623859">
        <w:rPr>
          <w:rFonts w:ascii="Times New Roman" w:hAnsi="Times New Roman" w:cs="Times New Roman"/>
          <w:sz w:val="24"/>
          <w:szCs w:val="24"/>
        </w:rPr>
        <w:t>ehr</w:t>
      </w:r>
      <w:r>
        <w:rPr>
          <w:rFonts w:ascii="Times New Roman" w:hAnsi="Times New Roman" w:cs="Times New Roman"/>
          <w:sz w:val="24"/>
          <w:szCs w:val="24"/>
        </w:rPr>
        <w:t>a</w:t>
      </w:r>
      <w:r w:rsidRPr="00623859">
        <w:rPr>
          <w:rFonts w:ascii="Times New Roman" w:hAnsi="Times New Roman" w:cs="Times New Roman"/>
          <w:sz w:val="24"/>
          <w:szCs w:val="24"/>
        </w:rPr>
        <w:t>ufwand is</w:t>
      </w:r>
      <w:r>
        <w:rPr>
          <w:rFonts w:ascii="Times New Roman" w:hAnsi="Times New Roman" w:cs="Times New Roman"/>
          <w:sz w:val="24"/>
          <w:szCs w:val="24"/>
        </w:rPr>
        <w:t>t zumutbar. Lediglich dem letzt</w:t>
      </w:r>
      <w:r w:rsidRPr="00623859">
        <w:rPr>
          <w:rFonts w:ascii="Times New Roman" w:hAnsi="Times New Roman" w:cs="Times New Roman"/>
          <w:sz w:val="24"/>
          <w:szCs w:val="24"/>
        </w:rPr>
        <w:t>verbliebenen Mieter sei die Möglichkeit der Untervermietung verwehrt, weil dann die Mietsache vollständig anderen zum selbstständigen Gebrauch überlassen werden würde. Auch die bisherige langjährige Übung der Mieterauswechslung begründe entgegen der Auffassung des Vorgerichtes</w:t>
      </w:r>
      <w:r>
        <w:rPr>
          <w:rFonts w:ascii="Times New Roman" w:hAnsi="Times New Roman" w:cs="Times New Roman"/>
          <w:sz w:val="24"/>
          <w:szCs w:val="24"/>
        </w:rPr>
        <w:t xml:space="preserve"> </w:t>
      </w:r>
      <w:r w:rsidRPr="00623859">
        <w:rPr>
          <w:rFonts w:ascii="Times New Roman" w:hAnsi="Times New Roman" w:cs="Times New Roman"/>
          <w:sz w:val="24"/>
          <w:szCs w:val="24"/>
        </w:rPr>
        <w:t>nicht die Klageforderung auf Recht auf Auswechseln des WG– Mitbewohners.</w:t>
      </w:r>
    </w:p>
    <w:p w:rsidR="00A03FA7" w:rsidRPr="00A03FA7" w:rsidRDefault="00A03FA7" w:rsidP="00A03FA7">
      <w:pPr>
        <w:pStyle w:val="StandardWeb"/>
        <w:rPr>
          <w:b/>
        </w:rPr>
      </w:pPr>
      <w:r w:rsidRPr="00A03FA7">
        <w:rPr>
          <w:b/>
        </w:rPr>
        <w:t xml:space="preserve">Mietervorkaufsrecht: Unzulässige Preisabrede zulasten Dritter </w:t>
      </w:r>
    </w:p>
    <w:p w:rsidR="00A03FA7" w:rsidRDefault="00A03FA7" w:rsidP="00A03FA7">
      <w:r>
        <w:rPr>
          <w:noProof/>
          <w:lang w:eastAsia="de-DE"/>
        </w:rPr>
        <mc:AlternateContent>
          <mc:Choice Requires="wps">
            <w:drawing>
              <wp:inline distT="0" distB="0" distL="0" distR="0">
                <wp:extent cx="307340" cy="307340"/>
                <wp:effectExtent l="0" t="0" r="0" b="0"/>
                <wp:docPr id="1" name="Rechteck 1" descr="Lorem Ipsu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D37DB" id="Rechteck 1" o:spid="_x0000_s1026" alt="Lorem Ipsu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kVvgIAAMoFAAAOAAAAZHJzL2Uyb0RvYy54bWysVNtu2zAMfR+wfxD07tpOnYuNOkUbx0OB&#10;bivW7QMUWY6F2pImKXG6Yf8+Sk7SpH0ZtvnBkEjpkIc84tX1rmvRlmnDpchxfBFhxASVFRfrHH/7&#10;WgYzjIwloiKtFCzHz8zg6/n7d1e9ythINrKtmEYAIkzWqxw31qosDA1tWEfMhVRMgLOWuiMWtnod&#10;Vpr0gN614SiKJmEvdaW0pMwYsBaDE889fl0zaj/XtWEWtTmG3Kz/a/9fuX84vyLZWhPVcLpPg/xF&#10;Fh3hAoIeoQpiCdpo/gaq41RLI2t7QWUXyrrmlHkOwCaOXrF5bIhingsUx6hjmcz/g6Wftg8a8Qp6&#10;h5EgHbToC6ONZfQJgaVihkK17qVmHbpTZtO5ivXKZHDxUT1ox9moe0mfDBJy0RCxZjdGQd0HxINJ&#10;a9k3jFSQeuwgwjMMtzGAhlb9R1lBDmRjpa/nrtadiwGVQjvftudj29jOIgrGy2h6mUBzKbj2axeB&#10;ZIfLShv7gckOuUWONWTnwcn23tjh6OGIiyVkydsW7CRrxZkBMAcLhIarzueS8I3+mUbpcracJUEy&#10;miyDJCqK4KZcJMGkjKfj4rJYLIr4l4sbJ1nDq4oJF+Ygujj5s6bu5T/I5Sg7I1teOTiXktHr1aLV&#10;aEtA9KX/fMnB83IsPE/D1wu4vKIUj5LodpQG5WQ2DZIyGQfpNJoFUZzeppMoSZOiPKd0zwX7d0qo&#10;z3E6Ho19l06SfsUt8t9bbiTruIWx0vIux7PjIZI5BS5F5VtrCW+H9UkpXPovpYB2Hxrt9eokOqh/&#10;JatnkKuWICdQHgxAWDRS/8Coh2GSY/N9QzTDqL0TIPk0TpxArd8k4+kINvrUszr1EEEBKscWo2G5&#10;sMPE2ijN1w1Ein1hhLyBZ1JzL2H3hIas9o8LBoZnsh9ubiKd7v2plxE8/w0AAP//AwBQSwMEFAAG&#10;AAgAAAAhAOvGwKTZAAAAAwEAAA8AAABkcnMvZG93bnJldi54bWxMj0FLw0AQhe+C/2EZwYvYjVKk&#10;xGyKFMQiQjHVnqfZMQlmZ9PsNon/3tEe9DKP4Q3vfZMtJ9eqgfrQeDZwM0tAEZfeNlwZeNs+Xi9A&#10;hYhssfVMBr4owDI/P8swtX7kVxqKWCkJ4ZCigTrGLtU6lDU5DDPfEYv34XuHUda+0rbHUcJdq2+T&#10;5E47bFgaauxoVVP5WRydgbHcDLvty5PeXO3Wng/rw6p4fzbm8mJ6uAcVaYp/x/CDL+iQC9PeH9kG&#10;1RqQR+LvFG++mIPan1Tnmf7Pnn8DAAD//wMAUEsBAi0AFAAGAAgAAAAhALaDOJL+AAAA4QEAABMA&#10;AAAAAAAAAAAAAAAAAAAAAFtDb250ZW50X1R5cGVzXS54bWxQSwECLQAUAAYACAAAACEAOP0h/9YA&#10;AACUAQAACwAAAAAAAAAAAAAAAAAvAQAAX3JlbHMvLnJlbHNQSwECLQAUAAYACAAAACEAJhwZFb4C&#10;AADKBQAADgAAAAAAAAAAAAAAAAAuAgAAZHJzL2Uyb0RvYy54bWxQSwECLQAUAAYACAAAACEA68bA&#10;pNkAAAADAQAADwAAAAAAAAAAAAAAAAAYBQAAZHJzL2Rvd25yZXYueG1sUEsFBgAAAAAEAAQA8wAA&#10;AB4GAAAAAA==&#10;" filled="f" stroked="f">
                <o:lock v:ext="edit" aspectratio="t"/>
                <w10:anchorlock/>
              </v:rect>
            </w:pict>
          </mc:Fallback>
        </mc:AlternateContent>
      </w:r>
    </w:p>
    <w:p w:rsidR="00A03FA7" w:rsidRDefault="00A03FA7" w:rsidP="00A03FA7">
      <w:pPr>
        <w:pStyle w:val="StandardWeb"/>
      </w:pPr>
      <w:r>
        <w:t>Die Ver</w:t>
      </w:r>
      <w:r>
        <w:softHyphen/>
        <w:t>ein</w:t>
      </w:r>
      <w:r>
        <w:softHyphen/>
        <w:t>ba</w:t>
      </w:r>
      <w:r>
        <w:softHyphen/>
        <w:t>rung zwi</w:t>
      </w:r>
      <w:r>
        <w:softHyphen/>
        <w:t>schen dem Ver</w:t>
      </w:r>
      <w:r>
        <w:softHyphen/>
        <w:t>käu</w:t>
      </w:r>
      <w:r>
        <w:softHyphen/>
        <w:t>fer einer Ei</w:t>
      </w:r>
      <w:r>
        <w:softHyphen/>
        <w:t>gen</w:t>
      </w:r>
      <w:r>
        <w:softHyphen/>
        <w:t>tums</w:t>
      </w:r>
      <w:r>
        <w:softHyphen/>
        <w:t>woh</w:t>
      </w:r>
      <w:r>
        <w:softHyphen/>
        <w:t>nung und dem Käu</w:t>
      </w:r>
      <w:r>
        <w:softHyphen/>
        <w:t>fer, wo</w:t>
      </w:r>
      <w:r>
        <w:softHyphen/>
        <w:t>nach der vor</w:t>
      </w:r>
      <w:r>
        <w:softHyphen/>
        <w:t>kaufs</w:t>
      </w:r>
      <w:r>
        <w:softHyphen/>
        <w:t>be</w:t>
      </w:r>
      <w:r>
        <w:softHyphen/>
        <w:t>rech</w:t>
      </w:r>
      <w:r>
        <w:softHyphen/>
        <w:t>tig</w:t>
      </w:r>
      <w:r>
        <w:softHyphen/>
        <w:t>te Mie</w:t>
      </w:r>
      <w:r>
        <w:softHyphen/>
        <w:t>ter einen hö</w:t>
      </w:r>
      <w:r>
        <w:softHyphen/>
        <w:t>he</w:t>
      </w:r>
      <w:r>
        <w:softHyphen/>
        <w:t>ren Preis zah</w:t>
      </w:r>
      <w:r>
        <w:softHyphen/>
        <w:t>len muss, ist eine un</w:t>
      </w:r>
      <w:r>
        <w:softHyphen/>
        <w:t>zu</w:t>
      </w:r>
      <w:r>
        <w:softHyphen/>
        <w:t>läs</w:t>
      </w:r>
      <w:r>
        <w:softHyphen/>
        <w:t>si</w:t>
      </w:r>
      <w:r>
        <w:softHyphen/>
        <w:t>ge Ver</w:t>
      </w:r>
      <w:r>
        <w:softHyphen/>
        <w:t>ein</w:t>
      </w:r>
      <w:r>
        <w:softHyphen/>
        <w:t>ba</w:t>
      </w:r>
      <w:r>
        <w:softHyphen/>
        <w:t>rung zu</w:t>
      </w:r>
      <w:r>
        <w:softHyphen/>
        <w:t>las</w:t>
      </w:r>
      <w:r>
        <w:softHyphen/>
        <w:t>ten Drit</w:t>
      </w:r>
      <w:r>
        <w:softHyphen/>
        <w:t xml:space="preserve">ter so der </w:t>
      </w:r>
      <w:r w:rsidRPr="00A03FA7">
        <w:rPr>
          <w:b/>
        </w:rPr>
        <w:t>BGH</w:t>
      </w:r>
      <w:r>
        <w:t xml:space="preserve"> mit Urteil 23.02.2022. Dies gilt laut Bun</w:t>
      </w:r>
      <w:r>
        <w:softHyphen/>
        <w:t>des</w:t>
      </w:r>
      <w:r>
        <w:softHyphen/>
        <w:t>ge</w:t>
      </w:r>
      <w:r>
        <w:softHyphen/>
        <w:t>richts</w:t>
      </w:r>
      <w:r>
        <w:softHyphen/>
        <w:t>hof auch dann, wenn der Erst</w:t>
      </w:r>
      <w:r>
        <w:softHyphen/>
        <w:t>käu</w:t>
      </w:r>
      <w:r>
        <w:softHyphen/>
        <w:t>fer den hö</w:t>
      </w:r>
      <w:r>
        <w:softHyphen/>
        <w:t>he</w:t>
      </w:r>
      <w:r>
        <w:softHyphen/>
        <w:t>ren Kauf</w:t>
      </w:r>
      <w:r>
        <w:softHyphen/>
        <w:t>be</w:t>
      </w:r>
      <w:r>
        <w:softHyphen/>
        <w:t>trag nur aus</w:t>
      </w:r>
      <w:r>
        <w:softHyphen/>
        <w:t>nahms</w:t>
      </w:r>
      <w:r>
        <w:softHyphen/>
        <w:t>wei</w:t>
      </w:r>
      <w:r>
        <w:softHyphen/>
        <w:t>se zu ent</w:t>
      </w:r>
      <w:r>
        <w:softHyphen/>
        <w:t>rich</w:t>
      </w:r>
      <w:r>
        <w:softHyphen/>
        <w:t>ten hat, wäh</w:t>
      </w:r>
      <w:r>
        <w:softHyphen/>
        <w:t>rend der Vor</w:t>
      </w:r>
      <w:r>
        <w:softHyphen/>
        <w:t>kaufs</w:t>
      </w:r>
      <w:r>
        <w:softHyphen/>
        <w:t>be</w:t>
      </w:r>
      <w:r>
        <w:softHyphen/>
        <w:t>rech</w:t>
      </w:r>
      <w:r>
        <w:softHyphen/>
        <w:t>tig</w:t>
      </w:r>
      <w:r>
        <w:softHyphen/>
        <w:t>te die</w:t>
      </w:r>
      <w:r>
        <w:softHyphen/>
        <w:t>sen bei Aus</w:t>
      </w:r>
      <w:r>
        <w:softHyphen/>
        <w:t>übung des An</w:t>
      </w:r>
      <w:r>
        <w:softHyphen/>
        <w:t>rechts stets schul</w:t>
      </w:r>
      <w:r>
        <w:softHyphen/>
        <w:t>det.</w:t>
      </w:r>
    </w:p>
    <w:p w:rsidR="00A03FA7" w:rsidRDefault="00A03FA7" w:rsidP="00A03FA7">
      <w:pPr>
        <w:pStyle w:val="StandardWeb"/>
      </w:pPr>
      <w:r>
        <w:t xml:space="preserve">Die vorkaufsberechtigte Mieterin einer Berliner Wohnung verlangte von ihrer ehemaligen Vermieterin die teilweise Rückzahlung des unter Vorbehalt gezahlten höheren Kaufpreises von 16.300 Euro. Nachdem die damalige Hauseigentümerin das vermietete Objekt 2015 in Wohnungseigentum aufgeteilt hatte, verkaufte sie die Bleibe der Frau an eine Käuferin. Laut Kaufvertrag war der Kaufpreis der Wohnung, die mit einem Mietervorkaufsrecht belastet war, um 10% zu mindern, falls diese "mit dem laufenden oder einem anderen Mietverhältnis geliefert" wird. Der Vertrag enthielt zudem eine "salvatorische Klausel", wonach die etwaige Unwirksamkeit oder Undurchführbarkeit einer Vertragsbestimmung nicht zur Ungültigkeit des Vertrags führen solle. Daraufhin übte </w:t>
      </w:r>
      <w:r>
        <w:lastRenderedPageBreak/>
        <w:t xml:space="preserve">die Mieterin ihr Vorkaufsrecht aus und zahlte den vollen Kaufpreis von 163.000 Euro für die unsanierte Wohnung mit 47 Quadratmetern unter Vorbehalt. Sowohl </w:t>
      </w:r>
      <w:r w:rsidRPr="00A03FA7">
        <w:t xml:space="preserve">beim </w:t>
      </w:r>
      <w:r w:rsidRPr="00A03FA7">
        <w:rPr>
          <w:rStyle w:val="zit"/>
        </w:rPr>
        <w:t>Landgericht Berlin</w:t>
      </w:r>
      <w:r w:rsidRPr="00A03FA7">
        <w:t xml:space="preserve"> als auch beim </w:t>
      </w:r>
      <w:r w:rsidRPr="00A03FA7">
        <w:rPr>
          <w:rStyle w:val="zit"/>
        </w:rPr>
        <w:t>Kammergericht</w:t>
      </w:r>
      <w:r w:rsidRPr="00A03FA7">
        <w:t xml:space="preserve"> bekam die Bewohnerin Recht, da die Regelung des Kaufvertrags unwirksam sei (</w:t>
      </w:r>
      <w:r w:rsidRPr="00A03FA7">
        <w:rPr>
          <w:rStyle w:val="zit"/>
        </w:rPr>
        <w:t xml:space="preserve">§§ </w:t>
      </w:r>
      <w:hyperlink r:id="rId7" w:history="1">
        <w:r w:rsidRPr="00A03FA7">
          <w:rPr>
            <w:rStyle w:val="Hyperlink"/>
            <w:color w:val="auto"/>
          </w:rPr>
          <w:t>464</w:t>
        </w:r>
      </w:hyperlink>
      <w:r w:rsidRPr="00A03FA7">
        <w:rPr>
          <w:rStyle w:val="zit"/>
        </w:rPr>
        <w:t xml:space="preserve"> Abs. </w:t>
      </w:r>
      <w:hyperlink r:id="rId8" w:history="1">
        <w:r w:rsidRPr="00A03FA7">
          <w:rPr>
            <w:rStyle w:val="Hyperlink"/>
            <w:color w:val="auto"/>
          </w:rPr>
          <w:t>2</w:t>
        </w:r>
      </w:hyperlink>
      <w:r w:rsidRPr="00A03FA7">
        <w:rPr>
          <w:rStyle w:val="zit"/>
        </w:rPr>
        <w:t xml:space="preserve">, </w:t>
      </w:r>
      <w:hyperlink r:id="rId9" w:history="1">
        <w:r w:rsidRPr="00A03FA7">
          <w:rPr>
            <w:rStyle w:val="Hyperlink"/>
            <w:color w:val="auto"/>
          </w:rPr>
          <w:t>577</w:t>
        </w:r>
      </w:hyperlink>
      <w:r w:rsidRPr="00A03FA7">
        <w:rPr>
          <w:rStyle w:val="zit"/>
        </w:rPr>
        <w:t xml:space="preserve"> Abs. </w:t>
      </w:r>
      <w:hyperlink r:id="rId10" w:history="1">
        <w:r w:rsidRPr="00A03FA7">
          <w:rPr>
            <w:rStyle w:val="Hyperlink"/>
            <w:color w:val="auto"/>
          </w:rPr>
          <w:t>5</w:t>
        </w:r>
      </w:hyperlink>
      <w:r w:rsidRPr="00A03FA7">
        <w:rPr>
          <w:rStyle w:val="zit"/>
        </w:rPr>
        <w:t xml:space="preserve">, </w:t>
      </w:r>
      <w:hyperlink r:id="rId11" w:history="1">
        <w:r w:rsidRPr="00A03FA7">
          <w:rPr>
            <w:rStyle w:val="Hyperlink"/>
            <w:color w:val="auto"/>
          </w:rPr>
          <w:t>138</w:t>
        </w:r>
      </w:hyperlink>
      <w:r w:rsidRPr="00A03FA7">
        <w:rPr>
          <w:rStyle w:val="zit"/>
        </w:rPr>
        <w:t> BGB</w:t>
      </w:r>
      <w:r w:rsidRPr="00A03FA7">
        <w:t xml:space="preserve">). Sie stelle eine zum Nachteil der Bewohnerin abweichende Vereinbarung dar, da sie die Wohnung zu einem Preis hätte </w:t>
      </w:r>
      <w:r>
        <w:t xml:space="preserve">erwerben können, den auch ein Dritter entrichten müsse. Die Revision der Vermieterin beim </w:t>
      </w:r>
      <w:r>
        <w:rPr>
          <w:rStyle w:val="zit"/>
        </w:rPr>
        <w:t>BGH</w:t>
      </w:r>
      <w:r>
        <w:t xml:space="preserve"> hatte keinen Erfolg. Dem VIII. Zivilsenat zufolge ist die zwischen der Beklagten und der Erstkäuferin vereinbarte Kaufpreisabrede unwirksam, soweit sie für den Fall der Ausübung des Vorkaufsrechts durch die Mieterin einen um 16.327 Euro höheren Kaufpreis vorsieht als den von der Erstkäuferin im Fall des Fortbestehens des Mietverhältnisses zu zahlenden. Die Mieterin habe für den Erwerb der Eigentumswohnung lediglich einen Kaufpreis von 146.940 Euro geschuldet. Laut </w:t>
      </w:r>
      <w:r>
        <w:rPr>
          <w:rStyle w:val="zit"/>
        </w:rPr>
        <w:t>BGH</w:t>
      </w:r>
      <w:r>
        <w:t xml:space="preserve"> handelt es sich bei der Teilabrede um eine unzulässige Vereinbarung zulasten Dritter. Die obersten Bundesrichter monierten, dass die Vorkaufsberechtigte stets den höheren Kaufpreis geschuldet hätte – auch bei Ausübung des Vorkaufsrechts. Darin liege eine Verkürzung der ihr gesetzlich eingeräumten Rechtsposition. Eine Entgeltabrede, die unterschiedliche Preisbedingungen für den Erstkäufer einerseits und den Vorkaufsberechtigten andererseits vorsieht, sei nicht etwa deshalb als wirksam anzusehen, weil die vermietete Wohnung für den Erwerber einen geringeren Wert habe. Der Verkäuferin habe lediglich eine vermietete Wohnung gehört – dieser Nachteil könne nicht auf Kosten der Mieterin ausgeglichen werden. </w:t>
      </w:r>
    </w:p>
    <w:p w:rsidR="00B56758" w:rsidRPr="00B56758" w:rsidRDefault="00B56758" w:rsidP="00B56758">
      <w:pPr>
        <w:pStyle w:val="StandardWeb"/>
        <w:rPr>
          <w:b/>
        </w:rPr>
      </w:pPr>
      <w:r w:rsidRPr="00B56758">
        <w:rPr>
          <w:b/>
        </w:rPr>
        <w:t>N</w:t>
      </w:r>
      <w:r>
        <w:rPr>
          <w:b/>
        </w:rPr>
        <w:t>egativz</w:t>
      </w:r>
      <w:r w:rsidRPr="00B56758">
        <w:rPr>
          <w:b/>
        </w:rPr>
        <w:t>insen und Mietkaution</w:t>
      </w:r>
    </w:p>
    <w:p w:rsidR="00B56758" w:rsidRDefault="00B56758" w:rsidP="00B56758">
      <w:pPr>
        <w:pStyle w:val="StandardWeb"/>
      </w:pPr>
      <w:r>
        <w:t xml:space="preserve">In der Literatur wird kontrovers die Auswirkung von </w:t>
      </w:r>
      <w:r>
        <w:t>Negativzinsen</w:t>
      </w:r>
      <w:r>
        <w:t xml:space="preserve"> auf die Mietkaution diskutiert. Rechtsprech</w:t>
      </w:r>
      <w:r>
        <w:t>ung ist so</w:t>
      </w:r>
      <w:r>
        <w:t>weit ersichtlich hier</w:t>
      </w:r>
      <w:r>
        <w:t>zu noch nicht ergangen.</w:t>
      </w:r>
    </w:p>
    <w:p w:rsidR="00B56758" w:rsidRDefault="00B56758" w:rsidP="00B56758">
      <w:pPr>
        <w:pStyle w:val="StandardWeb"/>
      </w:pPr>
      <w:r>
        <w:t xml:space="preserve">Die überwiegende Auffassung geht dahin, dass eine Verringerung der Mietkaution durch negative Zinsen zulasten des Mieters geht. Wenn auch die Gesetzeskonzeption davon ausgeht, dass </w:t>
      </w:r>
      <w:r>
        <w:t>dem</w:t>
      </w:r>
      <w:r>
        <w:t xml:space="preserve"> Mieter die Substanz seiner Sicherheitsleistung erhalten bleibt, kann aus der Erhebung eines </w:t>
      </w:r>
      <w:r>
        <w:t>Verwahrentgelts</w:t>
      </w:r>
      <w:r>
        <w:t xml:space="preserve"> nicht geschlossen werden, das</w:t>
      </w:r>
      <w:r>
        <w:t>s</w:t>
      </w:r>
      <w:r>
        <w:t xml:space="preserve"> </w:t>
      </w:r>
      <w:r>
        <w:t>dies</w:t>
      </w:r>
      <w:r>
        <w:t xml:space="preserve"> der Vermieter wirtschaftlich tragen müsste. Zwar k</w:t>
      </w:r>
      <w:r>
        <w:t>ommt es insoweit nicht auf ein V</w:t>
      </w:r>
      <w:r>
        <w:t>ertreten an, jedoch würde eine Ersta</w:t>
      </w:r>
      <w:r>
        <w:t>ttungspflicht eine verschuldens</w:t>
      </w:r>
      <w:r>
        <w:t>unabhängige Haftung des Vermieters begründen, die zumindest hinsichtlich der Rückgabe der Kaution im Mietrecht nicht vorgesehen ist. Insbesondere dann, wenn Verwahrgebühren marktüblich geworden sind und infolge</w:t>
      </w:r>
      <w:r>
        <w:t>dessen eine anderweitige Anlage</w:t>
      </w:r>
      <w:r>
        <w:t>möglichkeit</w:t>
      </w:r>
      <w:r>
        <w:t xml:space="preserve"> fehlt, kann dem Vermieter ein</w:t>
      </w:r>
      <w:r>
        <w:t xml:space="preserve"> eing</w:t>
      </w:r>
      <w:r>
        <w:t>etretener</w:t>
      </w:r>
      <w:r>
        <w:t xml:space="preserve"> Substanzverlust nicht weiter angelastet werden, zumal er sich insoweit gesetzestreu verhält.</w:t>
      </w:r>
      <w:bookmarkStart w:id="0" w:name="_GoBack"/>
      <w:bookmarkEnd w:id="0"/>
    </w:p>
    <w:p w:rsidR="00B56758" w:rsidRDefault="00B56758" w:rsidP="00B56758">
      <w:pPr>
        <w:pStyle w:val="StandardWeb"/>
      </w:pPr>
      <w:r>
        <w:t>Die weitergehende Frage, ob der Mieter die um die Gebühren verminderte Kaution wieder auffüllen muss, beurteilt sich mangels abweichende Vereinbarung nach den Kriterien der Vertragsgemäßheit. Der Mieter wird regelmäßig nachschießen müssen.</w:t>
      </w:r>
    </w:p>
    <w:p w:rsidR="007C427B" w:rsidRPr="00A2710A" w:rsidRDefault="00655F43" w:rsidP="00F16BD1">
      <w:pPr>
        <w:pStyle w:val="KeinLeerraum"/>
        <w:jc w:val="both"/>
        <w:rPr>
          <w:rFonts w:cs="Times New Roman"/>
        </w:rPr>
      </w:pPr>
      <w:r w:rsidRPr="00A2710A">
        <w:rPr>
          <w:rFonts w:cs="Times New Roman"/>
        </w:rPr>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368A"/>
    <w:rsid w:val="0000539D"/>
    <w:rsid w:val="00012FB5"/>
    <w:rsid w:val="00023589"/>
    <w:rsid w:val="00030C57"/>
    <w:rsid w:val="00033A05"/>
    <w:rsid w:val="00036335"/>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4194"/>
    <w:rsid w:val="000A7DE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466EA"/>
    <w:rsid w:val="00162CAC"/>
    <w:rsid w:val="00174475"/>
    <w:rsid w:val="001745A0"/>
    <w:rsid w:val="00175CBB"/>
    <w:rsid w:val="001815DE"/>
    <w:rsid w:val="001836E2"/>
    <w:rsid w:val="00186245"/>
    <w:rsid w:val="001942BA"/>
    <w:rsid w:val="00196A92"/>
    <w:rsid w:val="00196BCA"/>
    <w:rsid w:val="001A4642"/>
    <w:rsid w:val="001A57EF"/>
    <w:rsid w:val="001A7722"/>
    <w:rsid w:val="001B27FD"/>
    <w:rsid w:val="001B2F23"/>
    <w:rsid w:val="001B6576"/>
    <w:rsid w:val="001B7823"/>
    <w:rsid w:val="001C1780"/>
    <w:rsid w:val="001D3B3E"/>
    <w:rsid w:val="001E00D3"/>
    <w:rsid w:val="001E1622"/>
    <w:rsid w:val="001E1FDB"/>
    <w:rsid w:val="001E4E3A"/>
    <w:rsid w:val="001E5344"/>
    <w:rsid w:val="001E5925"/>
    <w:rsid w:val="001E5EFE"/>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6A45"/>
    <w:rsid w:val="002370DE"/>
    <w:rsid w:val="00256516"/>
    <w:rsid w:val="00256BB2"/>
    <w:rsid w:val="002623F3"/>
    <w:rsid w:val="00264863"/>
    <w:rsid w:val="00265A05"/>
    <w:rsid w:val="00271141"/>
    <w:rsid w:val="00294681"/>
    <w:rsid w:val="00295A06"/>
    <w:rsid w:val="002A1EF2"/>
    <w:rsid w:val="002A41CE"/>
    <w:rsid w:val="002A7469"/>
    <w:rsid w:val="002A7A9D"/>
    <w:rsid w:val="002B4C94"/>
    <w:rsid w:val="002C4D08"/>
    <w:rsid w:val="002D4B52"/>
    <w:rsid w:val="002D63AE"/>
    <w:rsid w:val="002E0B91"/>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522CD"/>
    <w:rsid w:val="0035647B"/>
    <w:rsid w:val="00360D25"/>
    <w:rsid w:val="00364A9D"/>
    <w:rsid w:val="00373CB5"/>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83ED6"/>
    <w:rsid w:val="005927E9"/>
    <w:rsid w:val="0059626E"/>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3859"/>
    <w:rsid w:val="006245EB"/>
    <w:rsid w:val="00634308"/>
    <w:rsid w:val="00635D66"/>
    <w:rsid w:val="006361D2"/>
    <w:rsid w:val="0064145A"/>
    <w:rsid w:val="0064187C"/>
    <w:rsid w:val="0064688B"/>
    <w:rsid w:val="00655F43"/>
    <w:rsid w:val="0065677F"/>
    <w:rsid w:val="00657ECD"/>
    <w:rsid w:val="006600BE"/>
    <w:rsid w:val="00671966"/>
    <w:rsid w:val="00673F90"/>
    <w:rsid w:val="00677504"/>
    <w:rsid w:val="00680628"/>
    <w:rsid w:val="00686F3A"/>
    <w:rsid w:val="00687B22"/>
    <w:rsid w:val="0069034D"/>
    <w:rsid w:val="006925CB"/>
    <w:rsid w:val="00693C02"/>
    <w:rsid w:val="00697F68"/>
    <w:rsid w:val="006B28C0"/>
    <w:rsid w:val="006B6F81"/>
    <w:rsid w:val="006C63AC"/>
    <w:rsid w:val="006C7730"/>
    <w:rsid w:val="006D5A1E"/>
    <w:rsid w:val="006D5D8C"/>
    <w:rsid w:val="006E7255"/>
    <w:rsid w:val="006E7EE6"/>
    <w:rsid w:val="006F03D7"/>
    <w:rsid w:val="006F54D8"/>
    <w:rsid w:val="006F7034"/>
    <w:rsid w:val="007008D7"/>
    <w:rsid w:val="00700A5D"/>
    <w:rsid w:val="007156B8"/>
    <w:rsid w:val="00722716"/>
    <w:rsid w:val="007255D7"/>
    <w:rsid w:val="007304B9"/>
    <w:rsid w:val="0073400C"/>
    <w:rsid w:val="007357BF"/>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1D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5B6"/>
    <w:rsid w:val="00801B9A"/>
    <w:rsid w:val="00806753"/>
    <w:rsid w:val="00807875"/>
    <w:rsid w:val="0081560A"/>
    <w:rsid w:val="00816624"/>
    <w:rsid w:val="00817E91"/>
    <w:rsid w:val="00821E57"/>
    <w:rsid w:val="008263CC"/>
    <w:rsid w:val="0082772A"/>
    <w:rsid w:val="00837DB6"/>
    <w:rsid w:val="008420B0"/>
    <w:rsid w:val="008464B3"/>
    <w:rsid w:val="0085589B"/>
    <w:rsid w:val="00857A7D"/>
    <w:rsid w:val="008648B0"/>
    <w:rsid w:val="00872DD4"/>
    <w:rsid w:val="00876F85"/>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78BB"/>
    <w:rsid w:val="009603C2"/>
    <w:rsid w:val="00961DE0"/>
    <w:rsid w:val="009626A8"/>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3FA7"/>
    <w:rsid w:val="00A043C4"/>
    <w:rsid w:val="00A07AEB"/>
    <w:rsid w:val="00A233C0"/>
    <w:rsid w:val="00A2440B"/>
    <w:rsid w:val="00A266BF"/>
    <w:rsid w:val="00A2710A"/>
    <w:rsid w:val="00A4659F"/>
    <w:rsid w:val="00A5144F"/>
    <w:rsid w:val="00A5151B"/>
    <w:rsid w:val="00A54602"/>
    <w:rsid w:val="00A54F86"/>
    <w:rsid w:val="00A563F1"/>
    <w:rsid w:val="00A66F4F"/>
    <w:rsid w:val="00A70069"/>
    <w:rsid w:val="00A81434"/>
    <w:rsid w:val="00A82B02"/>
    <w:rsid w:val="00AA3329"/>
    <w:rsid w:val="00AB23E5"/>
    <w:rsid w:val="00AC2CC8"/>
    <w:rsid w:val="00AC56AF"/>
    <w:rsid w:val="00AD00D9"/>
    <w:rsid w:val="00AD4FAB"/>
    <w:rsid w:val="00AE690E"/>
    <w:rsid w:val="00AF120F"/>
    <w:rsid w:val="00AF57D7"/>
    <w:rsid w:val="00AF6168"/>
    <w:rsid w:val="00AF6CAB"/>
    <w:rsid w:val="00B0103E"/>
    <w:rsid w:val="00B023C7"/>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500FC"/>
    <w:rsid w:val="00B56758"/>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2F32"/>
    <w:rsid w:val="00C13097"/>
    <w:rsid w:val="00C162CD"/>
    <w:rsid w:val="00C22C92"/>
    <w:rsid w:val="00C24730"/>
    <w:rsid w:val="00C251B4"/>
    <w:rsid w:val="00C25EE4"/>
    <w:rsid w:val="00C26CC3"/>
    <w:rsid w:val="00C27C6E"/>
    <w:rsid w:val="00C41029"/>
    <w:rsid w:val="00C42362"/>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F1243"/>
    <w:rsid w:val="00D00787"/>
    <w:rsid w:val="00D023F4"/>
    <w:rsid w:val="00D04FE6"/>
    <w:rsid w:val="00D06B00"/>
    <w:rsid w:val="00D11C39"/>
    <w:rsid w:val="00D17E08"/>
    <w:rsid w:val="00D23945"/>
    <w:rsid w:val="00D30BBD"/>
    <w:rsid w:val="00D30D81"/>
    <w:rsid w:val="00D3799D"/>
    <w:rsid w:val="00D37A5A"/>
    <w:rsid w:val="00D402E7"/>
    <w:rsid w:val="00D40A7E"/>
    <w:rsid w:val="00D40B3C"/>
    <w:rsid w:val="00D478B2"/>
    <w:rsid w:val="00D5509D"/>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C3E06"/>
    <w:rsid w:val="00DC51E9"/>
    <w:rsid w:val="00DD138F"/>
    <w:rsid w:val="00DD28CA"/>
    <w:rsid w:val="00DD404C"/>
    <w:rsid w:val="00DE0FD1"/>
    <w:rsid w:val="00DE2136"/>
    <w:rsid w:val="00DE4F90"/>
    <w:rsid w:val="00DF083C"/>
    <w:rsid w:val="00DF21D7"/>
    <w:rsid w:val="00E02823"/>
    <w:rsid w:val="00E038EB"/>
    <w:rsid w:val="00E13739"/>
    <w:rsid w:val="00E147D7"/>
    <w:rsid w:val="00E14F58"/>
    <w:rsid w:val="00E15815"/>
    <w:rsid w:val="00E15D65"/>
    <w:rsid w:val="00E16916"/>
    <w:rsid w:val="00E1738B"/>
    <w:rsid w:val="00E21339"/>
    <w:rsid w:val="00E30406"/>
    <w:rsid w:val="00E32087"/>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D431B"/>
    <w:rsid w:val="00ED7A22"/>
    <w:rsid w:val="00EE3699"/>
    <w:rsid w:val="00EE5B8A"/>
    <w:rsid w:val="00EF2BF1"/>
    <w:rsid w:val="00EF5CA5"/>
    <w:rsid w:val="00EF65E1"/>
    <w:rsid w:val="00EF7F3A"/>
    <w:rsid w:val="00F03078"/>
    <w:rsid w:val="00F04D44"/>
    <w:rsid w:val="00F074B5"/>
    <w:rsid w:val="00F123E9"/>
    <w:rsid w:val="00F16BD1"/>
    <w:rsid w:val="00F2170D"/>
    <w:rsid w:val="00F2599E"/>
    <w:rsid w:val="00F26397"/>
    <w:rsid w:val="00F31344"/>
    <w:rsid w:val="00F35515"/>
    <w:rsid w:val="00F35C8F"/>
    <w:rsid w:val="00F3678C"/>
    <w:rsid w:val="00F36F4F"/>
    <w:rsid w:val="00F476EC"/>
    <w:rsid w:val="00F524B0"/>
    <w:rsid w:val="00F55765"/>
    <w:rsid w:val="00F55819"/>
    <w:rsid w:val="00F60512"/>
    <w:rsid w:val="00F60E5E"/>
    <w:rsid w:val="00F61F47"/>
    <w:rsid w:val="00F64EFD"/>
    <w:rsid w:val="00F65428"/>
    <w:rsid w:val="00F65ADF"/>
    <w:rsid w:val="00F738DF"/>
    <w:rsid w:val="00F761A4"/>
    <w:rsid w:val="00F832AD"/>
    <w:rsid w:val="00F83B09"/>
    <w:rsid w:val="00F85A4C"/>
    <w:rsid w:val="00F873B4"/>
    <w:rsid w:val="00F87955"/>
    <w:rsid w:val="00F913D9"/>
    <w:rsid w:val="00F950E3"/>
    <w:rsid w:val="00F95C26"/>
    <w:rsid w:val="00F95FDC"/>
    <w:rsid w:val="00FA142D"/>
    <w:rsid w:val="00FB2451"/>
    <w:rsid w:val="00FB5FDB"/>
    <w:rsid w:val="00FB7E93"/>
    <w:rsid w:val="00FC3C05"/>
    <w:rsid w:val="00FC6C4E"/>
    <w:rsid w:val="00FD07F1"/>
    <w:rsid w:val="00FD299B"/>
    <w:rsid w:val="00FD5133"/>
    <w:rsid w:val="00FD6989"/>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E88EE"/>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464&amp;X=2"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beck-online.beck.de/Default.aspx?typ=reference&amp;y=100&amp;G=BGB&amp;P=464"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ck-online.beck.de/Default.aspx?typ=reference&amp;y=100&amp;G=BGB&amp;P=577&amp;X=138" TargetMode="External"/><Relationship Id="rId5" Type="http://schemas.openxmlformats.org/officeDocument/2006/relationships/settings" Target="settings.xml"/><Relationship Id="rId10" Type="http://schemas.openxmlformats.org/officeDocument/2006/relationships/hyperlink" Target="http://beck-online.beck.de/Default.aspx?typ=reference&amp;y=100&amp;G=BGB&amp;P=577&amp;X=5" TargetMode="External"/><Relationship Id="rId4" Type="http://schemas.openxmlformats.org/officeDocument/2006/relationships/styles" Target="styles.xml"/><Relationship Id="rId9" Type="http://schemas.openxmlformats.org/officeDocument/2006/relationships/hyperlink" Target="http://beck-online.beck.de/Default.aspx?typ=reference&amp;y=100&amp;G=BGB&amp;P=57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ab93c446-2624-41d2-983f-9c682005ecd8</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64AA7-3E5B-4686-B378-000BCC1B4286}">
  <ds:schemaRefs>
    <ds:schemaRef ds:uri="http://www.datev.de/BSOffice/999929"/>
  </ds:schemaRefs>
</ds:datastoreItem>
</file>

<file path=customXml/itemProps2.xml><?xml version="1.0" encoding="utf-8"?>
<ds:datastoreItem xmlns:ds="http://schemas.openxmlformats.org/officeDocument/2006/customXml" ds:itemID="{19DC7503-F720-467A-9EF1-001EDB2C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12192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7</cp:revision>
  <cp:lastPrinted>2019-01-17T09:30:00Z</cp:lastPrinted>
  <dcterms:created xsi:type="dcterms:W3CDTF">2022-03-07T17:07:00Z</dcterms:created>
  <dcterms:modified xsi:type="dcterms:W3CDTF">2022-03-26T15:58:00Z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627393</vt:lpwstr>
  </property>
  <property fmtid="{D5CDD505-2E9C-101B-9397-08002B2CF9AE}" pid="5" name="DATEV-DMS_BETREFF">
    <vt:lpwstr>Mandantenrundbrief April 2022</vt:lpwstr>
  </property>
</Properties>
</file>